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B5182">
      <w:pPr>
        <w:pStyle w:val="16"/>
        <w:keepNext/>
        <w:pBdr>
          <w:bottom w:val="single" w:color="005BAC" w:sz="8" w:space="5"/>
        </w:pBdr>
        <w:spacing w:before="2240" w:after="60" w:line="276" w:lineRule="auto"/>
        <w:jc w:val="center"/>
        <w:rPr>
          <w:rFonts w:ascii="Times New Roman" w:hAnsi="Times New Roman" w:eastAsia="黑体" w:cs="Times New Roman"/>
          <w:b w:val="0"/>
          <w:bCs w:val="0"/>
          <w:sz w:val="36"/>
          <w:szCs w:val="24"/>
        </w:rPr>
      </w:pPr>
      <w:r>
        <w:rPr>
          <w:rFonts w:ascii="黑体" w:hAnsi="黑体" w:eastAsia="黑体" w:cs="黑体"/>
          <w:color w:val="000000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889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b/>
          <w:color w:val="000000"/>
          <w:sz w:val="54"/>
        </w:rPr>
        <w:t>先锋会意</w:t>
      </w:r>
    </w:p>
    <w:p w14:paraId="047943ED">
      <w:pPr>
        <w:spacing w:before="160" w:after="400" w:line="276" w:lineRule="auto"/>
        <w:jc w:val="center"/>
      </w:pPr>
      <w:r>
        <w:rPr>
          <w:rFonts w:ascii="方正仿宋_GBK" w:hAnsi="方正仿宋_GBK" w:eastAsia="方正仿宋_GBK" w:cs="方正仿宋_GBK"/>
          <w:b w:val="0"/>
          <w:color w:val="000000"/>
          <w:sz w:val="32"/>
        </w:rPr>
        <w:t>产品使用说明书</w:t>
      </w:r>
    </w:p>
    <w:p w14:paraId="2E7AA02B">
      <w:pPr>
        <w:spacing w:before="280" w:after="0"/>
        <w:jc w:val="center"/>
      </w:pPr>
      <w:r>
        <w:rPr>
          <w:rFonts w:ascii="方正仿宋_GBK" w:hAnsi="方正仿宋_GBK" w:eastAsia="方正仿宋_GBK" w:cs="方正仿宋_GBK"/>
          <w:b w:val="0"/>
          <w:color w:val="000000"/>
          <w:sz w:val="32"/>
        </w:rPr>
        <w:t>中铁五局智能建造工作专班</w:t>
      </w:r>
    </w:p>
    <w:p w14:paraId="7C6E2AC6">
      <w:r>
        <w:rPr>
          <w:rFonts w:ascii="方正仿宋_GBK" w:hAnsi="方正仿宋_GBK" w:eastAsia="方正仿宋_GBK" w:cs="方正仿宋_GBK"/>
          <w:color w:val="000000"/>
          <w:sz w:val="32"/>
        </w:rPr>
        <w:br w:type="page"/>
      </w:r>
    </w:p>
    <w:p w14:paraId="43B99A99">
      <w:pPr>
        <w:pBdr>
          <w:bottom w:val="single" w:color="005BAC" w:sz="8" w:space="5"/>
        </w:pBdr>
        <w:spacing w:before="240" w:after="320"/>
        <w:jc w:val="center"/>
      </w:pPr>
      <w:r>
        <w:rPr>
          <w:rFonts w:ascii="黑体" w:hAnsi="黑体" w:eastAsia="黑体" w:cs="黑体"/>
          <w:b/>
          <w:color w:val="000000"/>
          <w:sz w:val="32"/>
        </w:rPr>
        <w:t>目录</w:t>
      </w:r>
    </w:p>
    <w:p w14:paraId="120D81FC">
      <w:pPr>
        <w:pStyle w:val="17"/>
        <w:tabs>
          <w:tab w:val="right" w:leader="dot" w:pos="9072"/>
        </w:tabs>
      </w:pPr>
      <w:bookmarkStart w:id="60" w:name="_GoBack"/>
      <w:bookmarkEnd w:id="60"/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TOC \o "1-3" \h \z \u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_Toc609289232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44"/>
        </w:rPr>
        <w:t>第一章 服务内容 / 项目概述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_Toc609289232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3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21B32CF9">
      <w:pPr>
        <w:pStyle w:val="20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_Toc1122093328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hint="default" w:eastAsia="方正仿宋_GBK" w:ascii="方正仿宋_GBK" w:hAnsi="方正仿宋_GBK" w:cs="方正仿宋_GBK"/>
          <w:bCs w:val="0"/>
          <w:color w:val="000000"/>
          <w:sz w:val="32"/>
          <w:szCs w:val="32"/>
        </w:rPr>
        <w:t xml:space="preserve">1.1 </w:t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32"/>
        </w:rPr>
        <w:t>基础设施 / 运行环境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_Toc1122093328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3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15CF3AA9">
      <w:pPr>
        <w:pStyle w:val="14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_Toc1968659389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24"/>
        </w:rPr>
        <w:t>总体架构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_Toc1968659389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3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3C978B3A">
      <w:pPr>
        <w:pStyle w:val="14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_Toc977801594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24"/>
        </w:rPr>
        <w:t>系统架构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_Toc977801594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3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69A0D2EA">
      <w:pPr>
        <w:pStyle w:val="14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_Toc1366523514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24"/>
        </w:rPr>
        <w:t>设备规格 / 配置清单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_Toc1366523514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3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48287E4F">
      <w:pPr>
        <w:pStyle w:val="20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_Toc1970578780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hint="default" w:eastAsia="方正仿宋_GBK" w:ascii="方正仿宋_GBK" w:hAnsi="方正仿宋_GBK" w:cs="方正仿宋_GBK"/>
          <w:bCs w:val="0"/>
          <w:color w:val="000000"/>
          <w:sz w:val="32"/>
          <w:szCs w:val="32"/>
        </w:rPr>
        <w:t xml:space="preserve">1.2 </w:t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32"/>
        </w:rPr>
        <w:t>软件开发 / 系统功能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_Toc1970578780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4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65296A26">
      <w:pPr>
        <w:pStyle w:val="14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_Toc1024751426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hint="default" w:eastAsia="方正仿宋_GBK" w:ascii="方正仿宋_GBK" w:hAnsi="方正仿宋_GBK" w:cs="方正仿宋_GBK"/>
          <w:bCs w:val="0"/>
          <w:color w:val="000000"/>
          <w:sz w:val="32"/>
          <w:szCs w:val="24"/>
        </w:rPr>
        <w:t xml:space="preserve">1.2.1 </w:t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24"/>
        </w:rPr>
        <w:t>汇报素材处理应用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_Toc1024751426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4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6B2F0F94">
      <w:pPr>
        <w:pStyle w:val="14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_Toc178367842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hint="default" w:eastAsia="方正仿宋_GBK" w:ascii="方正仿宋_GBK" w:hAnsi="方正仿宋_GBK" w:cs="方正仿宋_GBK"/>
          <w:bCs w:val="0"/>
          <w:color w:val="000000"/>
          <w:sz w:val="32"/>
          <w:szCs w:val="24"/>
        </w:rPr>
        <w:t xml:space="preserve">1.2.2 </w:t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24"/>
        </w:rPr>
        <w:t>视频剪辑生成应用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_Toc178367842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6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046D24F3">
      <w:pPr>
        <w:pStyle w:val="14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_Toc2088632929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hint="default" w:eastAsia="方正仿宋_GBK" w:ascii="方正仿宋_GBK" w:hAnsi="方正仿宋_GBK" w:cs="方正仿宋_GBK"/>
          <w:bCs w:val="0"/>
          <w:color w:val="000000"/>
          <w:sz w:val="32"/>
          <w:szCs w:val="24"/>
        </w:rPr>
        <w:t xml:space="preserve">1.2.3 </w:t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24"/>
        </w:rPr>
        <w:t>Premiere 导入包应用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_Toc2088632929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8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37EE6E90">
      <w:pPr>
        <w:pStyle w:val="20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_Toc885943841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hint="default" w:eastAsia="方正仿宋_GBK" w:ascii="方正仿宋_GBK" w:hAnsi="方正仿宋_GBK" w:cs="方正仿宋_GBK"/>
          <w:bCs w:val="0"/>
          <w:color w:val="000000"/>
          <w:sz w:val="32"/>
          <w:szCs w:val="32"/>
        </w:rPr>
        <w:t xml:space="preserve">1.3 </w:t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32"/>
        </w:rPr>
        <w:t>系统运营 / 配套服务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_Toc885943841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9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2BC99F94">
      <w:pPr>
        <w:pStyle w:val="14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_Toc1554011036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24"/>
        </w:rPr>
        <w:t>UI 设计服务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_Toc1554011036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9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3FBB0D43">
      <w:pPr>
        <w:pStyle w:val="14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_Toc567367238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24"/>
        </w:rPr>
        <w:t>数据处理与对接服务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_Toc567367238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9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3B5FDEFF">
      <w:pPr>
        <w:pStyle w:val="14"/>
        <w:tabs>
          <w:tab w:val="right" w:leader="dot" w:pos="9072"/>
        </w:tabs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HYPERLINK \l _Toc913776386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bCs w:val="0"/>
          <w:color w:val="000000"/>
          <w:sz w:val="32"/>
          <w:szCs w:val="24"/>
        </w:rPr>
        <w:t>数据标准规范建设</w:t>
      </w:r>
      <w:r>
        <w:rPr>
          <w:rFonts w:ascii="方正仿宋_GBK" w:hAnsi="方正仿宋_GBK" w:eastAsia="方正仿宋_GBK" w:cs="方正仿宋_GBK"/>
          <w:color w:val="000000"/>
          <w:sz w:val="32"/>
        </w:rPr>
        <w:tab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begin"/>
      </w:r>
      <w:r>
        <w:rPr>
          <w:rFonts w:ascii="方正仿宋_GBK" w:hAnsi="方正仿宋_GBK" w:eastAsia="方正仿宋_GBK" w:cs="方正仿宋_GBK"/>
          <w:color w:val="000000"/>
          <w:sz w:val="32"/>
        </w:rPr>
        <w:instrText xml:space="preserve"> PAGEREF _Toc913776386 \h </w:instrTex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separate"/>
      </w:r>
      <w:r>
        <w:rPr>
          <w:rFonts w:ascii="方正仿宋_GBK" w:hAnsi="方正仿宋_GBK" w:eastAsia="方正仿宋_GBK" w:cs="方正仿宋_GBK"/>
          <w:color w:val="000000"/>
          <w:sz w:val="32"/>
        </w:rPr>
        <w:t>9</w:t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63A5EDBA">
      <w:pPr>
        <w:spacing w:after="0" w:line="288" w:lineRule="auto"/>
      </w:pPr>
      <w:r>
        <w:rPr>
          <w:rFonts w:ascii="方正仿宋_GBK" w:hAnsi="方正仿宋_GBK" w:eastAsia="方正仿宋_GBK" w:cs="方正仿宋_GBK"/>
          <w:color w:val="000000"/>
          <w:sz w:val="32"/>
        </w:rPr>
        <w:fldChar w:fldCharType="end"/>
      </w:r>
    </w:p>
    <w:p w14:paraId="1BA8ACB9">
      <w:r>
        <w:rPr>
          <w:rFonts w:ascii="方正仿宋_GBK" w:hAnsi="方正仿宋_GBK" w:eastAsia="方正仿宋_GBK" w:cs="方正仿宋_GBK"/>
          <w:color w:val="000000"/>
          <w:sz w:val="32"/>
        </w:rPr>
        <w:br w:type="page"/>
      </w:r>
    </w:p>
    <w:p w14:paraId="4141991D">
      <w:pPr>
        <w:pStyle w:val="2"/>
        <w:keepNext/>
        <w:keepLines/>
        <w:pBdr>
          <w:bottom w:val="single" w:color="005BAC" w:sz="8" w:space="5"/>
        </w:pBdr>
        <w:spacing w:before="320" w:after="160" w:line="288" w:lineRule="auto"/>
        <w:rPr>
          <w:rFonts w:ascii="Times New Roman" w:hAnsi="Times New Roman" w:eastAsia="黑体" w:cs="Times New Roman"/>
          <w:b w:val="0"/>
          <w:bCs w:val="0"/>
          <w:sz w:val="32"/>
          <w:szCs w:val="44"/>
        </w:rPr>
      </w:pPr>
      <w:bookmarkStart w:id="0" w:name="_Toc609289232"/>
      <w:bookmarkStart w:id="1" w:name="第一章-服务内容-项目概述"/>
      <w:r>
        <w:rPr>
          <w:rFonts w:ascii="黑体" w:hAnsi="黑体" w:eastAsia="黑体" w:cs="黑体"/>
          <w:b/>
          <w:bCs w:val="0"/>
          <w:color w:val="000000"/>
          <w:sz w:val="32"/>
          <w:szCs w:val="44"/>
        </w:rPr>
        <w:t>第一章 服务内容 / 项目概述</w:t>
      </w:r>
      <w:bookmarkEnd w:id="0"/>
    </w:p>
    <w:p w14:paraId="7980745A">
      <w:pPr>
        <w:pStyle w:val="3"/>
        <w:spacing w:before="0" w:after="100" w:line="30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本项目建设“PPT 汇报视频工作流”本地 Skill，用于将企业会议汇报 PPT 转换为经人工确认的配音视频和 Premiere Pro 导入包。系统以命令行方式运行，不建设 Web 界面；根据 PPT 文件名识别业务类型，加载对应提示词完成内容处理、配音稿审核、语音合成、字幕生成、视频渲染及 Premiere 素材打包。</w:t>
      </w:r>
    </w:p>
    <w:p w14:paraId="5E59B091">
      <w:pPr>
        <w:pStyle w:val="4"/>
        <w:keepNext/>
        <w:keepLines/>
        <w:numPr>
          <w:ilvl w:val="0"/>
          <w:numId w:val="1"/>
        </w:numPr>
        <w:spacing w:before="240" w:after="120" w:line="288" w:lineRule="auto"/>
        <w:ind w:left="0" w:leftChars="0" w:firstLine="0" w:firstLineChars="0"/>
        <w:rPr>
          <w:rFonts w:eastAsia="黑体"/>
          <w:b w:val="0"/>
          <w:bCs w:val="0"/>
          <w:sz w:val="30"/>
          <w:szCs w:val="32"/>
        </w:rPr>
      </w:pPr>
      <w:bookmarkStart w:id="2" w:name="_Toc1122093328"/>
      <w:bookmarkStart w:id="3" w:name="基础设施-运行环境"/>
      <w:r>
        <w:rPr>
          <w:rFonts w:ascii="黑体" w:hAnsi="黑体" w:eastAsia="黑体" w:cs="黑体"/>
          <w:b/>
          <w:bCs w:val="0"/>
          <w:color w:val="000000"/>
          <w:sz w:val="32"/>
          <w:szCs w:val="32"/>
        </w:rPr>
        <w:t>基础设施 / 运行环境</w:t>
      </w:r>
      <w:bookmarkEnd w:id="2"/>
    </w:p>
    <w:p w14:paraId="394BB93E">
      <w:pPr>
        <w:pStyle w:val="5"/>
        <w:keepNext/>
        <w:keepLines/>
        <w:spacing w:before="200" w:after="100" w:line="288" w:lineRule="auto"/>
        <w:rPr>
          <w:rFonts w:ascii="Times New Roman" w:hAnsi="Times New Roman" w:eastAsia="黑体" w:cs="Times New Roman"/>
          <w:b w:val="0"/>
          <w:bCs w:val="0"/>
          <w:sz w:val="30"/>
          <w:szCs w:val="24"/>
        </w:rPr>
      </w:pPr>
      <w:bookmarkStart w:id="4" w:name="_Toc1968659389"/>
      <w:bookmarkStart w:id="5" w:name="总体架构"/>
      <w:r>
        <w:rPr>
          <w:rFonts w:ascii="黑体" w:hAnsi="黑体" w:eastAsia="黑体" w:cs="黑体"/>
          <w:b/>
          <w:bCs w:val="0"/>
          <w:color w:val="000000"/>
          <w:sz w:val="32"/>
          <w:szCs w:val="24"/>
        </w:rPr>
        <w:t>总体架构</w:t>
      </w:r>
      <w:bookmarkEnd w:id="4"/>
    </w:p>
    <w:p w14:paraId="4ECAA187">
      <w:pPr>
        <w:pStyle w:val="3"/>
        <w:spacing w:before="0" w:after="100" w:line="30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系统采用“本地编排、模型服务处理、文件化交付”的总体架构。项目本地负责 PPT 文本提取、页面渲染、文件名路由、审核材料生成、音视频时间轴计算、视频编码与 Premiere XML 生成；大模型服务负责按提示词处理汇报文本；语音服务负责生成配音音频。输入、过程文件和交付文件均落地保存于项目工作目录，便于人工审核、复核及二次编辑。</w:t>
      </w:r>
    </w:p>
    <w:bookmarkEnd w:id="5"/>
    <w:p w14:paraId="4FDAD453">
      <w:pPr>
        <w:pStyle w:val="5"/>
        <w:keepNext/>
        <w:keepLines/>
        <w:spacing w:before="200" w:after="100" w:line="288" w:lineRule="auto"/>
        <w:rPr>
          <w:rFonts w:ascii="Times New Roman" w:hAnsi="Times New Roman" w:eastAsia="黑体" w:cs="Times New Roman"/>
          <w:b w:val="0"/>
          <w:bCs w:val="0"/>
          <w:sz w:val="30"/>
          <w:szCs w:val="24"/>
        </w:rPr>
      </w:pPr>
      <w:bookmarkStart w:id="6" w:name="_Toc977801594"/>
      <w:bookmarkStart w:id="7" w:name="系统架构"/>
      <w:r>
        <w:rPr>
          <w:rFonts w:ascii="黑体" w:hAnsi="黑体" w:eastAsia="黑体" w:cs="黑体"/>
          <w:b/>
          <w:bCs w:val="0"/>
          <w:color w:val="000000"/>
          <w:sz w:val="32"/>
          <w:szCs w:val="24"/>
        </w:rPr>
        <w:t>系统架构</w:t>
      </w:r>
      <w:bookmarkEnd w:id="6"/>
    </w:p>
    <w:p w14:paraId="176A83F0">
      <w:pPr>
        <w:pStyle w:val="3"/>
        <w:spacing w:before="0" w:after="100" w:line="30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系统由以下层次组成：</w:t>
      </w:r>
    </w:p>
    <w:p w14:paraId="1D0912F8">
      <w:pPr>
        <w:pStyle w:val="3"/>
        <w:numPr>
          <w:ilvl w:val="0"/>
          <w:numId w:val="2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接入层：接收命名符合规则的 PPTX 文件、背景视频、片头素材、提示词文件及运行配置。</w:t>
      </w:r>
    </w:p>
    <w:p w14:paraId="3E0494E3">
      <w:pPr>
        <w:pStyle w:val="3"/>
        <w:numPr>
          <w:ilvl w:val="0"/>
          <w:numId w:val="2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业务编排层：执行材料类型识别、提示词加载、逐页配音稿生成、映射审核与显式确认控制。</w:t>
      </w:r>
    </w:p>
    <w:p w14:paraId="32E3F195">
      <w:pPr>
        <w:pStyle w:val="3"/>
        <w:numPr>
          <w:ilvl w:val="0"/>
          <w:numId w:val="2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媒体处理层：执行 PPT 页面导出、TTS 配音、字幕文件生成、音频时长探测、时间轴构建、正片渲染与片头合成。</w:t>
      </w:r>
    </w:p>
    <w:p w14:paraId="37220B4A">
      <w:pPr>
        <w:pStyle w:val="3"/>
        <w:numPr>
          <w:ilvl w:val="0"/>
          <w:numId w:val="2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交付层：输出视频成片、字幕文件、时间轴、音频文件、Premiere 导入 XML、素材清单及 ZIP 包。</w:t>
      </w:r>
    </w:p>
    <w:p w14:paraId="2E18AEB2">
      <w:pPr>
        <w:pStyle w:val="3"/>
        <w:numPr>
          <w:ilvl w:val="0"/>
          <w:numId w:val="2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安全控制层：模型和语音服务密钥仅通过运行环境变量读取，不写入代码、配置、文档或交付物。</w:t>
      </w:r>
    </w:p>
    <w:bookmarkEnd w:id="7"/>
    <w:p w14:paraId="21D86613">
      <w:pPr>
        <w:pStyle w:val="5"/>
        <w:keepNext/>
        <w:keepLines/>
        <w:spacing w:before="200" w:after="100" w:line="288" w:lineRule="auto"/>
        <w:rPr>
          <w:rFonts w:ascii="Times New Roman" w:hAnsi="Times New Roman" w:eastAsia="黑体" w:cs="Times New Roman"/>
          <w:b w:val="0"/>
          <w:bCs w:val="0"/>
          <w:sz w:val="30"/>
          <w:szCs w:val="24"/>
        </w:rPr>
      </w:pPr>
      <w:bookmarkStart w:id="8" w:name="_Toc1366523514"/>
      <w:bookmarkStart w:id="9" w:name="设备规格-配置清单"/>
      <w:r>
        <w:rPr>
          <w:rFonts w:ascii="黑体" w:hAnsi="黑体" w:eastAsia="黑体" w:cs="黑体"/>
          <w:b/>
          <w:bCs w:val="0"/>
          <w:color w:val="000000"/>
          <w:sz w:val="32"/>
          <w:szCs w:val="24"/>
        </w:rPr>
        <w:t>设备规格 / 配置清单</w:t>
      </w:r>
      <w:bookmarkEnd w:id="8"/>
    </w:p>
    <w:p w14:paraId="0C9D3F1F">
      <w:pPr>
        <w:pStyle w:val="3"/>
        <w:spacing w:before="0" w:after="100" w:line="30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系统部署于 Windows 本地工作站，运行环境应满足以下要求：</w:t>
      </w:r>
    </w:p>
    <w:tbl>
      <w:tblPr>
        <w:tblStyle w:val="44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644"/>
      </w:tblGrid>
      <w:tr w14:paraId="69F9E38A">
        <w:trPr>
          <w:tblHeader/>
        </w:trPr>
        <w:tc>
          <w:tcPr>
            <w:tcW w:w="2500" w:type="pct"/>
            <w:shd w:val="clear" w:color="auto" w:fill="DDE9EF"/>
          </w:tcPr>
          <w:p w14:paraId="66DFDCB2">
            <w:pPr>
              <w:pStyle w:val="27"/>
              <w:spacing w:before="0" w:after="100" w:line="300" w:lineRule="auto"/>
              <w:jc w:val="center"/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32"/>
              </w:rPr>
              <w:t>类别</w:t>
            </w:r>
          </w:p>
        </w:tc>
        <w:tc>
          <w:tcPr>
            <w:tcW w:w="2500" w:type="pct"/>
            <w:shd w:val="clear" w:color="auto" w:fill="DDE9EF"/>
          </w:tcPr>
          <w:p w14:paraId="02BB228C">
            <w:pPr>
              <w:pStyle w:val="27"/>
              <w:spacing w:before="0" w:after="100" w:line="300" w:lineRule="auto"/>
              <w:jc w:val="center"/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sz w:val="32"/>
              </w:rPr>
              <w:t>配置要求</w:t>
            </w:r>
          </w:p>
        </w:tc>
      </w:tr>
      <w:tr w14:paraId="70C9CE57">
        <w:tc>
          <w:tcPr>
            <w:tcW w:w="2500" w:type="pct"/>
          </w:tcPr>
          <w:p w14:paraId="34F1887A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操作系统</w:t>
            </w:r>
          </w:p>
        </w:tc>
        <w:tc>
          <w:tcPr>
            <w:tcW w:w="2500" w:type="pct"/>
          </w:tcPr>
          <w:p w14:paraId="125C9086">
            <w:pPr>
              <w:pStyle w:val="27"/>
              <w:spacing w:before="0" w:after="100" w:line="300" w:lineRule="auto"/>
            </w:pP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Windows 10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或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Windows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11，具备本地文件读写权限</w:t>
            </w:r>
          </w:p>
        </w:tc>
      </w:tr>
      <w:tr w14:paraId="5086AEE4">
        <w:tc>
          <w:tcPr>
            <w:tcW w:w="2500" w:type="pct"/>
          </w:tcPr>
          <w:p w14:paraId="3C1FD012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运行时</w:t>
            </w:r>
          </w:p>
        </w:tc>
        <w:tc>
          <w:tcPr>
            <w:tcW w:w="2500" w:type="pct"/>
          </w:tcPr>
          <w:p w14:paraId="07300D64">
            <w:pPr>
              <w:pStyle w:val="27"/>
              <w:spacing w:before="0" w:after="100" w:line="300" w:lineRule="auto"/>
            </w:pP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Python 3.10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或兼容版本，按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</w:t>
            </w:r>
            <w:r>
              <w:rPr>
                <w:rStyle w:val="51"/>
                <w:rFonts w:ascii="方正仿宋_GBK" w:hAnsi="方正仿宋_GBK" w:eastAsia="方正仿宋_GBK" w:cs="方正仿宋_GBK"/>
                <w:color w:val="000000"/>
                <w:sz w:val="32"/>
              </w:rPr>
              <w:t>requirements.txt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安装项目依赖</w:t>
            </w:r>
          </w:p>
        </w:tc>
      </w:tr>
      <w:tr w14:paraId="69B5FEF0">
        <w:tc>
          <w:tcPr>
            <w:tcW w:w="2500" w:type="pct"/>
          </w:tcPr>
          <w:p w14:paraId="2255A948">
            <w:pPr>
              <w:pStyle w:val="27"/>
              <w:spacing w:before="0" w:after="100" w:line="300" w:lineRule="auto"/>
            </w:pP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PPT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处理组件</w:t>
            </w:r>
          </w:p>
        </w:tc>
        <w:tc>
          <w:tcPr>
            <w:tcW w:w="2500" w:type="pct"/>
          </w:tcPr>
          <w:p w14:paraId="6F975652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安装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LibreOffice，用于将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PPTX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导出为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PDF；安装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PyMuPDF，用于将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PDF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页面渲染为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PNG</w:t>
            </w:r>
          </w:p>
        </w:tc>
      </w:tr>
      <w:tr w14:paraId="25CFD204">
        <w:tc>
          <w:tcPr>
            <w:tcW w:w="2500" w:type="pct"/>
          </w:tcPr>
          <w:p w14:paraId="38C03881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音视频组件</w:t>
            </w:r>
          </w:p>
        </w:tc>
        <w:tc>
          <w:tcPr>
            <w:tcW w:w="2500" w:type="pct"/>
          </w:tcPr>
          <w:p w14:paraId="2ED17EE5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安装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FFmpeg，支持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H.264/AAC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编码、音频拼接及背景视频循环</w:t>
            </w:r>
          </w:p>
        </w:tc>
      </w:tr>
      <w:tr w14:paraId="412F2A94">
        <w:tc>
          <w:tcPr>
            <w:tcW w:w="2500" w:type="pct"/>
          </w:tcPr>
          <w:p w14:paraId="5F596BD5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模型服务</w:t>
            </w:r>
          </w:p>
        </w:tc>
        <w:tc>
          <w:tcPr>
            <w:tcW w:w="2500" w:type="pct"/>
          </w:tcPr>
          <w:p w14:paraId="12A02325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配置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DashScope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文本模型环境变量；离线验收可使用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Windows SAPI</w:t>
            </w:r>
          </w:p>
        </w:tc>
      </w:tr>
      <w:tr w14:paraId="1379EAD9">
        <w:tc>
          <w:tcPr>
            <w:tcW w:w="2500" w:type="pct"/>
          </w:tcPr>
          <w:p w14:paraId="5F1D371D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语音服务</w:t>
            </w:r>
          </w:p>
        </w:tc>
        <w:tc>
          <w:tcPr>
            <w:tcW w:w="2500" w:type="pct"/>
          </w:tcPr>
          <w:p w14:paraId="73B98662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配置火山引擎豆包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TTS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环境变量及已授权音色；可配置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Edge TTS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或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Windows SAPI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作为备用</w:t>
            </w:r>
          </w:p>
        </w:tc>
      </w:tr>
      <w:tr w14:paraId="716A5D22">
        <w:tc>
          <w:tcPr>
            <w:tcW w:w="2500" w:type="pct"/>
          </w:tcPr>
          <w:p w14:paraId="5197854C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存储空间</w:t>
            </w:r>
          </w:p>
        </w:tc>
        <w:tc>
          <w:tcPr>
            <w:tcW w:w="2500" w:type="pct"/>
          </w:tcPr>
          <w:p w14:paraId="6AC951EF">
            <w:pPr>
              <w:pStyle w:val="27"/>
              <w:spacing w:before="0" w:after="100" w:line="300" w:lineRule="auto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预留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PPT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页面图片、分段音频、渲染视频和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Premiere ZIP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包的本地存储空间，具体容量随</w:t>
            </w:r>
            <w:r>
              <w:rPr>
                <w:rFonts w:ascii="方正仿宋_GBK" w:hAnsi="方正仿宋_GBK" w:eastAsia="方正仿宋_GBK" w:cs="方正仿宋_GBK"/>
                <w:color w:val="000000"/>
                <w:sz w:val="32"/>
              </w:rPr>
              <w:t xml:space="preserve"> PPT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</w:rPr>
              <w:t>页数、时长和码率确定</w:t>
            </w:r>
          </w:p>
        </w:tc>
      </w:tr>
      <w:bookmarkEnd w:id="3"/>
      <w:bookmarkEnd w:id="9"/>
    </w:tbl>
    <w:p w14:paraId="39CEB3F3">
      <w:pPr>
        <w:pStyle w:val="4"/>
        <w:keepNext/>
        <w:keepLines/>
        <w:numPr>
          <w:ilvl w:val="0"/>
          <w:numId w:val="1"/>
        </w:numPr>
        <w:spacing w:before="240" w:after="120" w:line="288" w:lineRule="auto"/>
        <w:ind w:left="0" w:leftChars="0" w:firstLine="0" w:firstLineChars="0"/>
        <w:rPr>
          <w:rFonts w:eastAsia="黑体"/>
          <w:b w:val="0"/>
          <w:bCs w:val="0"/>
          <w:sz w:val="30"/>
          <w:szCs w:val="32"/>
        </w:rPr>
      </w:pPr>
      <w:bookmarkStart w:id="10" w:name="_Toc1970578780"/>
      <w:bookmarkStart w:id="11" w:name="软件开发-系统功能"/>
      <w:r>
        <w:rPr>
          <w:rFonts w:ascii="黑体" w:hAnsi="黑体" w:eastAsia="黑体" w:cs="黑体"/>
          <w:b/>
          <w:bCs w:val="0"/>
          <w:color w:val="000000"/>
          <w:sz w:val="32"/>
          <w:szCs w:val="32"/>
        </w:rPr>
        <w:t>软件开发 / 系统功能</w:t>
      </w:r>
      <w:bookmarkEnd w:id="10"/>
    </w:p>
    <w:p w14:paraId="5F5853F9">
      <w:pPr>
        <w:pStyle w:val="5"/>
        <w:keepNext/>
        <w:keepLines/>
        <w:numPr>
          <w:ilvl w:val="0"/>
          <w:numId w:val="3"/>
        </w:numPr>
        <w:spacing w:before="200" w:after="100" w:line="288" w:lineRule="auto"/>
        <w:ind w:left="0" w:leftChars="0" w:firstLine="0" w:firstLineChars="0"/>
        <w:rPr>
          <w:rFonts w:eastAsia="黑体"/>
          <w:b w:val="0"/>
          <w:bCs w:val="0"/>
          <w:sz w:val="30"/>
          <w:szCs w:val="24"/>
        </w:rPr>
      </w:pPr>
      <w:bookmarkStart w:id="12" w:name="_Toc1024751426"/>
      <w:bookmarkStart w:id="13" w:name="汇报素材处理应用"/>
      <w:r>
        <w:rPr>
          <w:rFonts w:ascii="黑体" w:hAnsi="黑体" w:eastAsia="黑体" w:cs="黑体"/>
          <w:b/>
          <w:bCs w:val="0"/>
          <w:color w:val="000000"/>
          <w:sz w:val="32"/>
          <w:szCs w:val="24"/>
        </w:rPr>
        <w:t>汇报素材处理应用</w:t>
      </w:r>
      <w:bookmarkEnd w:id="12"/>
    </w:p>
    <w:p w14:paraId="7973A270">
      <w:pPr>
        <w:pStyle w:val="6"/>
        <w:keepNext/>
        <w:keepLines/>
        <w:numPr>
          <w:ilvl w:val="0"/>
          <w:numId w:val="4"/>
        </w:numPr>
        <w:spacing w:before="160" w:after="8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14" w:name="材料类型识别管理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材料类型识别管理</w:t>
      </w:r>
    </w:p>
    <w:p w14:paraId="603B889A">
      <w:pPr>
        <w:pStyle w:val="7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8"/>
        </w:rPr>
      </w:pPr>
      <w:bookmarkStart w:id="15" w:name="文件名识别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1.2.1.1.1 文件名识别子模块</w:t>
      </w:r>
    </w:p>
    <w:p w14:paraId="0B9F1B2B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16" w:name="材料类型识别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1.2.1.1.1.1 材料类型识别功能</w:t>
      </w:r>
    </w:p>
    <w:p w14:paraId="5519ED79">
      <w:pPr>
        <w:pStyle w:val="3"/>
        <w:numPr>
          <w:ilvl w:val="0"/>
          <w:numId w:val="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功能定义：识别上传 PPTX 文件名中的业务类型关键词，并确定后续内容处理路径。</w:t>
      </w:r>
    </w:p>
    <w:p w14:paraId="4EDBA027">
      <w:pPr>
        <w:pStyle w:val="3"/>
        <w:numPr>
          <w:ilvl w:val="0"/>
          <w:numId w:val="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数据要素：源文件名、源文件路径、材料类型标识、材料类型名称、识别结果及异常信息。</w:t>
      </w:r>
    </w:p>
    <w:p w14:paraId="6F08E50C">
      <w:pPr>
        <w:pStyle w:val="3"/>
        <w:numPr>
          <w:ilvl w:val="0"/>
          <w:numId w:val="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业务流程：读取文件名；匹配“交班会”“重点督办”“汇报资料”三个关键词；仅匹配一种类型时进入对应流程；未匹配或匹配多种类型时终止处理并提示人工修正文件名。</w:t>
      </w:r>
    </w:p>
    <w:p w14:paraId="39DDA45B">
      <w:pPr>
        <w:pStyle w:val="3"/>
        <w:numPr>
          <w:ilvl w:val="0"/>
          <w:numId w:val="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交互展示：命令行输出材料类型、错误原因和允许使用的关键词；映射审核表记录最终类型标识。</w:t>
      </w:r>
    </w:p>
    <w:p w14:paraId="6B63DBBB">
      <w:pPr>
        <w:pStyle w:val="3"/>
        <w:numPr>
          <w:ilvl w:val="0"/>
          <w:numId w:val="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接口集成：与本地文件系统、提示词加载模块和后续内容处理模块建立数据传递关系，不依赖 Web 接口。</w:t>
      </w:r>
    </w:p>
    <w:bookmarkEnd w:id="14"/>
    <w:bookmarkEnd w:id="15"/>
    <w:bookmarkEnd w:id="16"/>
    <w:p w14:paraId="6725ED3C">
      <w:pPr>
        <w:pStyle w:val="6"/>
        <w:keepNext/>
        <w:keepLines/>
        <w:numPr>
          <w:ilvl w:val="0"/>
          <w:numId w:val="4"/>
        </w:numPr>
        <w:spacing w:before="160" w:after="8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17" w:name="提示词处理管理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提示词处理管理</w:t>
      </w:r>
    </w:p>
    <w:p w14:paraId="2DDC2A7F">
      <w:pPr>
        <w:pStyle w:val="7"/>
        <w:keepNext/>
        <w:keepLines/>
        <w:numPr>
          <w:ilvl w:val="0"/>
          <w:numId w:val="6"/>
        </w:numPr>
        <w:spacing w:before="120" w:after="6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18" w:name="内容提示词加载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内容提示词加载子模块</w:t>
      </w:r>
    </w:p>
    <w:p w14:paraId="7B318565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19" w:name="业务提示词加载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1.2.1.2.1.1 业务提示词加载功能</w:t>
      </w:r>
    </w:p>
    <w:p w14:paraId="00C9AD6D">
      <w:pPr>
        <w:pStyle w:val="3"/>
        <w:numPr>
          <w:ilvl w:val="0"/>
          <w:numId w:val="7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功能定义：根据材料类型动态读取交班会内容、重点督办内容或汇报资料内容处理提示词。</w:t>
      </w:r>
    </w:p>
    <w:p w14:paraId="2022129D">
      <w:pPr>
        <w:pStyle w:val="3"/>
        <w:numPr>
          <w:ilvl w:val="0"/>
          <w:numId w:val="7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数据要素：提示词文件名、提示词正文、材料类型、PPT 原始文本、页面编号及页面标题。</w:t>
      </w:r>
    </w:p>
    <w:p w14:paraId="28B40363">
      <w:pPr>
        <w:pStyle w:val="3"/>
        <w:numPr>
          <w:ilvl w:val="0"/>
          <w:numId w:val="7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业务流程：校验提示词文件存在且非空；提取 PPT 每页文字、表格和备注；将原始页面文本与对应提示词提交至内容处理服务；生成逐页配音稿草稿。</w:t>
      </w:r>
    </w:p>
    <w:p w14:paraId="5DEFD874">
      <w:pPr>
        <w:pStyle w:val="3"/>
        <w:numPr>
          <w:ilvl w:val="0"/>
          <w:numId w:val="7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交互展示：在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report_draft.json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中保存页面编号、标题、配音稿和材料类型；在审核表中展示配音稿摘要。</w:t>
      </w:r>
    </w:p>
    <w:p w14:paraId="7C6D46AD">
      <w:pPr>
        <w:pStyle w:val="3"/>
        <w:numPr>
          <w:ilvl w:val="0"/>
          <w:numId w:val="7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接口集成：与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提示词/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目录、大模型文本处理服务、PPT 文本提取模块和审核管理模块对接。</w:t>
      </w:r>
    </w:p>
    <w:bookmarkEnd w:id="18"/>
    <w:bookmarkEnd w:id="19"/>
    <w:p w14:paraId="6A38D436">
      <w:pPr>
        <w:pStyle w:val="7"/>
        <w:keepNext/>
        <w:keepLines/>
        <w:numPr>
          <w:ilvl w:val="0"/>
          <w:numId w:val="6"/>
        </w:numPr>
        <w:spacing w:before="120" w:after="6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20" w:name="配音稿断句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配音稿断句子模块</w:t>
      </w:r>
    </w:p>
    <w:p w14:paraId="25667799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21" w:name="断句提示词处理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1.2.1.2.2.1 断句提示词处理功能</w:t>
      </w:r>
    </w:p>
    <w:p w14:paraId="58AABC11">
      <w:pPr>
        <w:pStyle w:val="3"/>
        <w:numPr>
          <w:ilvl w:val="0"/>
          <w:numId w:val="8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功能定义：在业务内容处理完成后，依据配音稿断句提示词生成适用于字幕和语音合成的语义分句结果。</w:t>
      </w:r>
    </w:p>
    <w:p w14:paraId="0D57EEF3">
      <w:pPr>
        <w:pStyle w:val="3"/>
        <w:numPr>
          <w:ilvl w:val="0"/>
          <w:numId w:val="8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数据要素：确认配音稿、断句提示词、分句序号、分句文本、行末标点处理结果。</w:t>
      </w:r>
    </w:p>
    <w:p w14:paraId="01A87471">
      <w:pPr>
        <w:pStyle w:val="3"/>
        <w:numPr>
          <w:ilvl w:val="0"/>
          <w:numId w:val="8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业务流程：读取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3配音稿断句处理提示词.txt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；对配音稿进行断句处理；保留原文有效信息；将分句结果传入语音合成和字幕生成环节。</w:t>
      </w:r>
    </w:p>
    <w:p w14:paraId="0530DF16">
      <w:pPr>
        <w:pStyle w:val="3"/>
        <w:numPr>
          <w:ilvl w:val="0"/>
          <w:numId w:val="8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交互展示：分句文本以字幕条目形式写入时间轴和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subtitle.srt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；审核阶段保留完整配音稿供人工复核。</w:t>
      </w:r>
    </w:p>
    <w:p w14:paraId="2F631D5D">
      <w:pPr>
        <w:pStyle w:val="3"/>
        <w:numPr>
          <w:ilvl w:val="0"/>
          <w:numId w:val="8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接口集成：与内容处理服务、文本断句模块、TTS 服务和字幕生成模块对接。断句规则以提示词文件为准，不在 Skill 说明中固化额外字符限制。</w:t>
      </w:r>
    </w:p>
    <w:bookmarkEnd w:id="17"/>
    <w:bookmarkEnd w:id="20"/>
    <w:bookmarkEnd w:id="21"/>
    <w:p w14:paraId="4CB04C37">
      <w:pPr>
        <w:pStyle w:val="6"/>
        <w:keepNext/>
        <w:keepLines/>
        <w:numPr>
          <w:ilvl w:val="0"/>
          <w:numId w:val="4"/>
        </w:numPr>
        <w:spacing w:before="160" w:after="8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22" w:name="映射审核管理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映射审核管理</w:t>
      </w:r>
    </w:p>
    <w:p w14:paraId="58428465">
      <w:pPr>
        <w:pStyle w:val="7"/>
        <w:keepNext/>
        <w:keepLines/>
        <w:numPr>
          <w:ilvl w:val="0"/>
          <w:numId w:val="9"/>
        </w:numPr>
        <w:spacing w:before="120" w:after="6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23" w:name="逐页映射生成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逐页映射生成子模块</w:t>
      </w:r>
    </w:p>
    <w:p w14:paraId="770D8A1A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24" w:name="配音映射审核表生成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1.2.1.3.1.1 配音映射审核表生成功能</w:t>
      </w:r>
    </w:p>
    <w:p w14:paraId="6E141E7B">
      <w:pPr>
        <w:pStyle w:val="3"/>
        <w:numPr>
          <w:ilvl w:val="0"/>
          <w:numId w:val="10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功能定义：生成 PPT 页面与配音稿的一一对应审核材料，作为媒体生成前的确认依据。</w:t>
      </w:r>
    </w:p>
    <w:p w14:paraId="69CD0914">
      <w:pPr>
        <w:pStyle w:val="3"/>
        <w:numPr>
          <w:ilvl w:val="0"/>
          <w:numId w:val="10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数据要素：源文件路径、材料类型、页码、页面标题、配音稿摘要、审核状态、歧义说明及跳过标记。</w:t>
      </w:r>
    </w:p>
    <w:p w14:paraId="295D687E">
      <w:pPr>
        <w:pStyle w:val="3"/>
        <w:numPr>
          <w:ilvl w:val="0"/>
          <w:numId w:val="10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业务流程：汇总逐页内容处理结果；识别空配音稿页面；生成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report_draft.json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、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source_extract.json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和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页码配音映射审核表.json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；将状态设置为待人工确认。</w:t>
      </w:r>
    </w:p>
    <w:p w14:paraId="0AF2E5E8">
      <w:pPr>
        <w:pStyle w:val="3"/>
        <w:numPr>
          <w:ilvl w:val="0"/>
          <w:numId w:val="10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交互展示：以 JSON 文件提供页码、标题、摘要和异常信息；命令行输出审核文件路径及确认命令。</w:t>
      </w:r>
    </w:p>
    <w:p w14:paraId="16CD1101">
      <w:pPr>
        <w:pStyle w:val="3"/>
        <w:numPr>
          <w:ilvl w:val="0"/>
          <w:numId w:val="10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 PPT 文本提取模块、内容提示词处理模块、文件存储模块和确认执行模块对接。</w:t>
      </w:r>
    </w:p>
    <w:bookmarkEnd w:id="23"/>
    <w:bookmarkEnd w:id="24"/>
    <w:p w14:paraId="03E4C7FB">
      <w:pPr>
        <w:pStyle w:val="7"/>
        <w:keepNext/>
        <w:keepLines/>
        <w:numPr>
          <w:ilvl w:val="0"/>
          <w:numId w:val="9"/>
        </w:numPr>
        <w:spacing w:before="120" w:after="6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25" w:name="显式确认控制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显式确认控制子模块</w:t>
      </w:r>
    </w:p>
    <w:p w14:paraId="3B343B8F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26" w:name="映射确认校验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1.2.1.3.2.1 映射确认校验功能</w:t>
      </w:r>
    </w:p>
    <w:p w14:paraId="4CFFD628">
      <w:pPr>
        <w:pStyle w:val="3"/>
        <w:numPr>
          <w:ilvl w:val="0"/>
          <w:numId w:val="11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功能定义：对人工审核后的配音稿执行显式确认校验，阻断未经确认的页面导出、语音生成和视频渲染。</w:t>
      </w:r>
    </w:p>
    <w:p w14:paraId="3BFA178D">
      <w:pPr>
        <w:pStyle w:val="3"/>
        <w:numPr>
          <w:ilvl w:val="0"/>
          <w:numId w:val="11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数据要素：确认稿文件、源 PPT 路径、页码、配音文本、跳过标记、确认状态及校验结果。</w:t>
      </w:r>
    </w:p>
    <w:p w14:paraId="04E94100">
      <w:pPr>
        <w:pStyle w:val="3"/>
        <w:numPr>
          <w:ilvl w:val="0"/>
          <w:numId w:val="11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业务流程：接收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--confirm-mapping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参数；加载确认稿；校验页码与源 PPT 对应关系；校验未跳过页面的配音稿非空；通过后进入媒体生成阶段。</w:t>
      </w:r>
    </w:p>
    <w:p w14:paraId="32621A34">
      <w:pPr>
        <w:pStyle w:val="3"/>
        <w:numPr>
          <w:ilvl w:val="0"/>
          <w:numId w:val="11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交互展示：命令行显示缺失页码、空稿或确认失败原因；确认成功后生成最终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report_data.json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。</w:t>
      </w:r>
    </w:p>
    <w:p w14:paraId="5505D5A3">
      <w:pPr>
        <w:pStyle w:val="3"/>
        <w:numPr>
          <w:ilvl w:val="0"/>
          <w:numId w:val="11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接口集成：与命令行入口、PPT 页面导出模块、视频生成模块和本地 JSON 文件存储对接。</w:t>
      </w:r>
    </w:p>
    <w:bookmarkEnd w:id="13"/>
    <w:bookmarkEnd w:id="22"/>
    <w:bookmarkEnd w:id="25"/>
    <w:bookmarkEnd w:id="26"/>
    <w:p w14:paraId="112F293B">
      <w:pPr>
        <w:pStyle w:val="5"/>
        <w:keepNext/>
        <w:keepLines/>
        <w:numPr>
          <w:ilvl w:val="0"/>
          <w:numId w:val="3"/>
        </w:numPr>
        <w:spacing w:before="200" w:after="100" w:line="288" w:lineRule="auto"/>
        <w:ind w:left="0" w:leftChars="0" w:firstLine="0" w:firstLineChars="0"/>
        <w:rPr>
          <w:rFonts w:eastAsia="黑体"/>
          <w:b w:val="0"/>
          <w:bCs w:val="0"/>
          <w:sz w:val="30"/>
          <w:szCs w:val="24"/>
        </w:rPr>
      </w:pPr>
      <w:bookmarkStart w:id="27" w:name="_Toc178367842"/>
      <w:bookmarkStart w:id="28" w:name="视频剪辑生成应用"/>
      <w:r>
        <w:rPr>
          <w:rFonts w:ascii="黑体" w:hAnsi="黑体" w:eastAsia="黑体" w:cs="黑体"/>
          <w:b/>
          <w:bCs w:val="0"/>
          <w:color w:val="000000"/>
          <w:sz w:val="32"/>
          <w:szCs w:val="24"/>
        </w:rPr>
        <w:t>视频剪辑生成应用</w:t>
      </w:r>
      <w:bookmarkEnd w:id="27"/>
    </w:p>
    <w:p w14:paraId="0D6E8CAE">
      <w:pPr>
        <w:pStyle w:val="6"/>
        <w:keepNext/>
        <w:keepLines/>
        <w:numPr>
          <w:ilvl w:val="0"/>
          <w:numId w:val="12"/>
        </w:numPr>
        <w:spacing w:before="160" w:after="8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29" w:name="页面素材生成管理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页面素材生成管理</w:t>
      </w:r>
    </w:p>
    <w:p w14:paraId="3C015CE4">
      <w:pPr>
        <w:pStyle w:val="7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8"/>
        </w:rPr>
      </w:pPr>
      <w:bookmarkStart w:id="30" w:name="ppt-页面导出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1.2.2.1.1 PPT 页面导出子模块</w:t>
      </w:r>
    </w:p>
    <w:p w14:paraId="3614FECB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31" w:name="原始页面渲染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1.2.2.1.1.1 原始页面渲染功能</w:t>
      </w:r>
    </w:p>
    <w:p w14:paraId="4A56AD3C">
      <w:pPr>
        <w:pStyle w:val="3"/>
        <w:numPr>
          <w:ilvl w:val="0"/>
          <w:numId w:val="13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功能定义：在映射确认后将源 PPTX 页面按原始版式导出为视频使用的 PNG 图片。</w:t>
      </w:r>
    </w:p>
    <w:p w14:paraId="00A42894">
      <w:pPr>
        <w:pStyle w:val="3"/>
        <w:numPr>
          <w:ilvl w:val="0"/>
          <w:numId w:val="13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数据要素：源 PPTX、页码、PDF 中间文件、PNG 图片路径、页面数量及渲染结果。</w:t>
      </w:r>
    </w:p>
    <w:p w14:paraId="044D487E">
      <w:pPr>
        <w:pStyle w:val="3"/>
        <w:numPr>
          <w:ilvl w:val="0"/>
          <w:numId w:val="13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业务流程：调用 LibreOffice 将 PPTX 转换为 PDF；调用 PyMuPDF 渲染每页 PNG；校验提取文字页数与图片页数一致；建立页码与图片路径映射。</w:t>
      </w:r>
    </w:p>
    <w:p w14:paraId="14B7F3DB">
      <w:pPr>
        <w:pStyle w:val="3"/>
        <w:numPr>
          <w:ilvl w:val="0"/>
          <w:numId w:val="13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交互展示：输出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slides/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目录及按三位页码命名的页面图片；图片在视频画面中保持既定尺寸、位置和淡入淡出效果。</w:t>
      </w:r>
    </w:p>
    <w:p w14:paraId="1961CBD4">
      <w:pPr>
        <w:pStyle w:val="3"/>
        <w:numPr>
          <w:ilvl w:val="0"/>
          <w:numId w:val="13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 LibreOffice、PyMuPDF、确认稿校验模块、视频渲染模块及 Premiere 打包模块对接。</w:t>
      </w:r>
    </w:p>
    <w:bookmarkEnd w:id="29"/>
    <w:bookmarkEnd w:id="30"/>
    <w:bookmarkEnd w:id="31"/>
    <w:p w14:paraId="23D2D9C5">
      <w:pPr>
        <w:pStyle w:val="6"/>
        <w:keepNext/>
        <w:keepLines/>
        <w:numPr>
          <w:ilvl w:val="0"/>
          <w:numId w:val="12"/>
        </w:numPr>
        <w:spacing w:before="160" w:after="8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32" w:name="语音字幕生成管理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语音字幕生成管理</w:t>
      </w:r>
    </w:p>
    <w:p w14:paraId="20E0F47B">
      <w:pPr>
        <w:pStyle w:val="7"/>
        <w:keepNext/>
        <w:keepLines/>
        <w:numPr>
          <w:ilvl w:val="0"/>
          <w:numId w:val="14"/>
        </w:numPr>
        <w:spacing w:before="120" w:after="6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33" w:name="语音合成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语音合成子模块</w:t>
      </w:r>
    </w:p>
    <w:p w14:paraId="72A9A77C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34" w:name="分段语音生成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1.2.2.2.1.1 分段语音生成功能</w:t>
      </w:r>
    </w:p>
    <w:p w14:paraId="22ECD8BB">
      <w:pPr>
        <w:pStyle w:val="3"/>
        <w:numPr>
          <w:ilvl w:val="0"/>
          <w:numId w:val="1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功能定义：针对已断句的配音文本生成独立音频片段，并记录每段真实时长。</w:t>
      </w:r>
    </w:p>
    <w:p w14:paraId="2A8A4E58">
      <w:pPr>
        <w:pStyle w:val="3"/>
        <w:numPr>
          <w:ilvl w:val="0"/>
          <w:numId w:val="1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数据要素：分句文本、语音引擎、音色、语速、情感上下文、音频格式、音频路径和时长。</w:t>
      </w:r>
    </w:p>
    <w:p w14:paraId="12185D5B">
      <w:pPr>
        <w:pStyle w:val="3"/>
        <w:numPr>
          <w:ilvl w:val="0"/>
          <w:numId w:val="1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业务流程：按分句序号调用豆包 TTS、Edge TTS 或 Windows SAPI；失败时按配置重试；读取生成音频时长；保存音频片段及结果信息。</w:t>
      </w:r>
    </w:p>
    <w:p w14:paraId="117B36AD">
      <w:pPr>
        <w:pStyle w:val="3"/>
        <w:numPr>
          <w:ilvl w:val="0"/>
          <w:numId w:val="1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交互展示：命令行输出当前页码、分句序号及合成进度；工作目录保存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audio_segments/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和合并后的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voice.mp3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。</w:t>
      </w:r>
    </w:p>
    <w:p w14:paraId="3BEDE4E1">
      <w:pPr>
        <w:pStyle w:val="3"/>
        <w:numPr>
          <w:ilvl w:val="0"/>
          <w:numId w:val="1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接口集成：与火山引擎豆包语音服务、Edge TTS、Windows SAPI、音频时长探测模块和时间轴构建模块对接。</w:t>
      </w:r>
    </w:p>
    <w:bookmarkEnd w:id="33"/>
    <w:bookmarkEnd w:id="34"/>
    <w:p w14:paraId="68D91F0F">
      <w:pPr>
        <w:pStyle w:val="7"/>
        <w:keepNext/>
        <w:keepLines/>
        <w:numPr>
          <w:ilvl w:val="0"/>
          <w:numId w:val="14"/>
        </w:numPr>
        <w:spacing w:before="120" w:after="6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35" w:name="字幕时间轴生成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字幕时间轴生成子模块</w:t>
      </w:r>
    </w:p>
    <w:p w14:paraId="51FD431C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36" w:name="字幕时间轴构建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1.2.2.2.2.1 字幕时间轴构建功能</w:t>
      </w:r>
    </w:p>
    <w:p w14:paraId="30C02D1E">
      <w:pPr>
        <w:pStyle w:val="3"/>
        <w:numPr>
          <w:ilvl w:val="0"/>
          <w:numId w:val="16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功能定义：基于每个音频片段的真实时长，生成图片、字幕和旁白统一时间轴。</w:t>
      </w:r>
    </w:p>
    <w:p w14:paraId="45C1066E">
      <w:pPr>
        <w:pStyle w:val="3"/>
        <w:numPr>
          <w:ilvl w:val="0"/>
          <w:numId w:val="16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数据要素：页面图片、分句文本、音频路径、音频时长、句间间隔、页间间隔、字幕起止时间及页面起止时间。</w:t>
      </w:r>
    </w:p>
    <w:p w14:paraId="0D037750">
      <w:pPr>
        <w:pStyle w:val="3"/>
        <w:numPr>
          <w:ilvl w:val="0"/>
          <w:numId w:val="16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业务流程：按确认页码顺序排列音频片段；读取真实时长；计算每句字幕起止时间和每页图片展示时间；输出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timeline.json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和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subtitle.srt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。</w:t>
      </w:r>
    </w:p>
    <w:p w14:paraId="7D8D6E61">
      <w:pPr>
        <w:pStyle w:val="3"/>
        <w:numPr>
          <w:ilvl w:val="0"/>
          <w:numId w:val="16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交互展示：SRT 字幕以序号、起止时间和文本呈现；时间轴 JSON 提供逐页、逐句的媒体绑定关系。</w:t>
      </w:r>
    </w:p>
    <w:p w14:paraId="086C6021">
      <w:pPr>
        <w:pStyle w:val="3"/>
        <w:numPr>
          <w:ilvl w:val="0"/>
          <w:numId w:val="16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接口集成：与语音合成模块、字幕生成模块、音频拼接模块、视频渲染模块和 Premiere 导入包模块对接。</w:t>
      </w:r>
    </w:p>
    <w:bookmarkEnd w:id="32"/>
    <w:bookmarkEnd w:id="35"/>
    <w:bookmarkEnd w:id="36"/>
    <w:p w14:paraId="59343AA2">
      <w:pPr>
        <w:pStyle w:val="6"/>
        <w:keepNext/>
        <w:keepLines/>
        <w:numPr>
          <w:ilvl w:val="0"/>
          <w:numId w:val="12"/>
        </w:numPr>
        <w:spacing w:before="160" w:after="8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37" w:name="成片渲染管理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成片渲染管理</w:t>
      </w:r>
    </w:p>
    <w:p w14:paraId="1AAA4CE4">
      <w:pPr>
        <w:pStyle w:val="7"/>
        <w:keepNext/>
        <w:keepLines/>
        <w:numPr>
          <w:ilvl w:val="0"/>
          <w:numId w:val="17"/>
        </w:numPr>
        <w:spacing w:before="120" w:after="6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38" w:name="正片渲染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正片渲染子模块</w:t>
      </w:r>
    </w:p>
    <w:p w14:paraId="46ACD81F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39" w:name="动态背景合成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1.2.2.3.1.1 动态背景合成功能</w:t>
      </w:r>
    </w:p>
    <w:p w14:paraId="526E11B5">
      <w:pPr>
        <w:pStyle w:val="3"/>
        <w:numPr>
          <w:ilvl w:val="0"/>
          <w:numId w:val="18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功能定义：将确认后的 PPT 页面、字幕和旁白叠加到带 Logo 的动态背景视频中，生成正片。</w:t>
      </w:r>
    </w:p>
    <w:p w14:paraId="5F19EDB3">
      <w:pPr>
        <w:pStyle w:val="3"/>
        <w:numPr>
          <w:ilvl w:val="0"/>
          <w:numId w:val="18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数据要素：背景视频、页面图片、图片位置与尺寸、淡入淡出参数、字幕样式、旁白音频、视频分辨率、帧率和输出路径。</w:t>
      </w:r>
    </w:p>
    <w:p w14:paraId="73CD6CF3">
      <w:pPr>
        <w:pStyle w:val="3"/>
        <w:numPr>
          <w:ilvl w:val="0"/>
          <w:numId w:val="18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业务流程：循环或裁剪背景视频至时间轴总时长；按页码放置页面图片；执行淡入淡出；烧录字幕或输出外置字幕；编码生成 H.264/AAC 视频。</w:t>
      </w:r>
    </w:p>
    <w:p w14:paraId="33EFD916">
      <w:pPr>
        <w:pStyle w:val="3"/>
        <w:numPr>
          <w:ilvl w:val="0"/>
          <w:numId w:val="18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交互展示：输出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final.mp4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、可选无字幕预览、字幕文件及时间轴文件；成片画面保持图片在背景蓝色边框内。</w:t>
      </w:r>
    </w:p>
    <w:p w14:paraId="7B685A1E">
      <w:pPr>
        <w:pStyle w:val="3"/>
        <w:numPr>
          <w:ilvl w:val="0"/>
          <w:numId w:val="18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 FFmpeg、背景视频素材、字幕时间轴、旁白音频和片头合成模块对接。</w:t>
      </w:r>
    </w:p>
    <w:bookmarkEnd w:id="38"/>
    <w:bookmarkEnd w:id="39"/>
    <w:p w14:paraId="39823E7F">
      <w:pPr>
        <w:pStyle w:val="7"/>
        <w:keepNext/>
        <w:keepLines/>
        <w:numPr>
          <w:ilvl w:val="0"/>
          <w:numId w:val="17"/>
        </w:numPr>
        <w:spacing w:before="120" w:after="6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40" w:name="片头合成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片头合成子模块</w:t>
      </w:r>
    </w:p>
    <w:p w14:paraId="1734F91F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41" w:name="片头过渡合成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1.2.2.3.2.1 片头过渡合成功能</w:t>
      </w:r>
    </w:p>
    <w:p w14:paraId="3E51C5BD">
      <w:pPr>
        <w:pStyle w:val="3"/>
        <w:numPr>
          <w:ilvl w:val="0"/>
          <w:numId w:val="19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功能定义：将片头视频、片头图片和正片按既定顺序进行交叉淡化，生成完整汇报成片。</w:t>
      </w:r>
    </w:p>
    <w:p w14:paraId="2B3A3B3D">
      <w:pPr>
        <w:pStyle w:val="3"/>
        <w:numPr>
          <w:ilvl w:val="0"/>
          <w:numId w:val="19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数据要素：片头视频、片头图片、正片路径、过渡时长、输出路径及合成结果。</w:t>
      </w:r>
    </w:p>
    <w:p w14:paraId="7FD66722">
      <w:pPr>
        <w:pStyle w:val="3"/>
        <w:numPr>
          <w:ilvl w:val="0"/>
          <w:numId w:val="19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业务流程：读取片头视频和片头图片；依次与正片执行交叉淡化；校验输出文件存在且可播放；生成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final_with_intro.mp4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。</w:t>
      </w:r>
    </w:p>
    <w:p w14:paraId="349AB83C">
      <w:pPr>
        <w:pStyle w:val="3"/>
        <w:numPr>
          <w:ilvl w:val="0"/>
          <w:numId w:val="19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交互展示：以最终 MP4 文件作为交付成片；命令行输出完整成片路径。</w:t>
      </w:r>
    </w:p>
    <w:p w14:paraId="3CB8C0A2">
      <w:pPr>
        <w:pStyle w:val="3"/>
        <w:numPr>
          <w:ilvl w:val="0"/>
          <w:numId w:val="19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 FFmpeg、片头素材目录和正片渲染模块对接。</w:t>
      </w:r>
    </w:p>
    <w:bookmarkEnd w:id="28"/>
    <w:bookmarkEnd w:id="37"/>
    <w:bookmarkEnd w:id="40"/>
    <w:bookmarkEnd w:id="41"/>
    <w:p w14:paraId="063AEA40">
      <w:pPr>
        <w:pStyle w:val="5"/>
        <w:keepNext/>
        <w:keepLines/>
        <w:numPr>
          <w:ilvl w:val="0"/>
          <w:numId w:val="3"/>
        </w:numPr>
        <w:spacing w:before="200" w:after="100" w:line="288" w:lineRule="auto"/>
        <w:ind w:left="0" w:leftChars="0" w:firstLine="0" w:firstLineChars="0"/>
        <w:rPr>
          <w:rFonts w:eastAsia="黑体"/>
          <w:b w:val="0"/>
          <w:bCs w:val="0"/>
          <w:sz w:val="30"/>
          <w:szCs w:val="24"/>
        </w:rPr>
      </w:pPr>
      <w:bookmarkStart w:id="42" w:name="_Toc2088632929"/>
      <w:bookmarkStart w:id="43" w:name="premiere-导入包应用"/>
      <w:r>
        <w:rPr>
          <w:rFonts w:ascii="黑体" w:hAnsi="黑体" w:eastAsia="黑体" w:cs="黑体"/>
          <w:b/>
          <w:bCs w:val="0"/>
          <w:color w:val="000000"/>
          <w:sz w:val="32"/>
          <w:szCs w:val="24"/>
        </w:rPr>
        <w:t>Premiere 导入包应用</w:t>
      </w:r>
      <w:bookmarkEnd w:id="42"/>
    </w:p>
    <w:p w14:paraId="3BE04A07">
      <w:pPr>
        <w:pStyle w:val="6"/>
        <w:keepNext/>
        <w:keepLines/>
        <w:numPr>
          <w:ilvl w:val="0"/>
          <w:numId w:val="20"/>
        </w:numPr>
        <w:spacing w:before="160" w:after="8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44" w:name="媒体素材打包管理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媒体素材打包管理</w:t>
      </w:r>
    </w:p>
    <w:p w14:paraId="7CCC1614">
      <w:pPr>
        <w:pStyle w:val="7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8"/>
        </w:rPr>
      </w:pPr>
      <w:bookmarkStart w:id="45" w:name="素材归集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1.2.3.1.1 素材归集子模块</w:t>
      </w:r>
    </w:p>
    <w:p w14:paraId="1F58B0AE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46" w:name="premiere-素材归集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1.2.3.1.1.1 Premiere 素材归集功能</w:t>
      </w:r>
    </w:p>
    <w:p w14:paraId="19C7E8F4">
      <w:pPr>
        <w:pStyle w:val="3"/>
        <w:numPr>
          <w:ilvl w:val="0"/>
          <w:numId w:val="21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功能定义：归集视频编辑所需的原始页面图片、语音片段、字幕和循环背景视频，形成可移交的素材目录。</w:t>
      </w:r>
    </w:p>
    <w:p w14:paraId="3D84BCD3">
      <w:pPr>
        <w:pStyle w:val="3"/>
        <w:numPr>
          <w:ilvl w:val="0"/>
          <w:numId w:val="21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数据要素：图片路径、音频路径、字幕路径、背景视频路径、总时长、素材清单及包目录。</w:t>
      </w:r>
    </w:p>
    <w:p w14:paraId="2D376C99">
      <w:pPr>
        <w:pStyle w:val="3"/>
        <w:numPr>
          <w:ilvl w:val="0"/>
          <w:numId w:val="21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业务流程：复制确认页面图片和音频片段；复制 SRT 字幕；将背景视频循环渲染为覆盖全片时长的无声视频；生成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素材清单.json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。</w:t>
      </w:r>
    </w:p>
    <w:p w14:paraId="05A8DC62">
      <w:pPr>
        <w:pStyle w:val="3"/>
        <w:numPr>
          <w:ilvl w:val="0"/>
          <w:numId w:val="21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交互展示：在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Premiere导入包/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下按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images/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、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audio/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、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subtitles/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、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background/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分类存放素材。</w:t>
      </w:r>
    </w:p>
    <w:p w14:paraId="6CB4DE32">
      <w:pPr>
        <w:pStyle w:val="3"/>
        <w:numPr>
          <w:ilvl w:val="0"/>
          <w:numId w:val="21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 FFmpeg、时间轴文件、页面导出模块、音频生成模块和本地文件系统对接。</w:t>
      </w:r>
    </w:p>
    <w:bookmarkEnd w:id="44"/>
    <w:bookmarkEnd w:id="45"/>
    <w:bookmarkEnd w:id="46"/>
    <w:p w14:paraId="494F7D3B">
      <w:pPr>
        <w:pStyle w:val="6"/>
        <w:keepNext/>
        <w:keepLines/>
        <w:numPr>
          <w:ilvl w:val="0"/>
          <w:numId w:val="20"/>
        </w:numPr>
        <w:spacing w:before="160" w:after="8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47" w:name="工程文件生成管理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工程文件生成管理</w:t>
      </w:r>
    </w:p>
    <w:p w14:paraId="281CF624">
      <w:pPr>
        <w:pStyle w:val="7"/>
        <w:keepNext/>
        <w:keepLines/>
        <w:numPr>
          <w:ilvl w:val="0"/>
          <w:numId w:val="22"/>
        </w:numPr>
        <w:spacing w:before="120" w:after="6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48" w:name="premiere-xml-生成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Premiere XML 生成子模块</w:t>
      </w:r>
    </w:p>
    <w:p w14:paraId="1703E363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49" w:name="premiere-导入工程生成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1.2.3.2.1.1 Premiere 导入工程生成功能</w:t>
      </w:r>
    </w:p>
    <w:p w14:paraId="5C9D4EFD">
      <w:pPr>
        <w:pStyle w:val="3"/>
        <w:numPr>
          <w:ilvl w:val="0"/>
          <w:numId w:val="23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功能定义：依据时间轴生成 FCP7/XMEML 格式的 Premiere 可导入 XML，保留图片和音频的页码、顺序与时长关系。</w:t>
      </w:r>
    </w:p>
    <w:p w14:paraId="3E4E2EB9">
      <w:pPr>
        <w:pStyle w:val="3"/>
        <w:numPr>
          <w:ilvl w:val="0"/>
          <w:numId w:val="23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数据要素：序列帧率、视频轨道、音频轨道、背景轨道、媒体文件 URI、起止帧、入点和出点。</w:t>
      </w:r>
    </w:p>
    <w:p w14:paraId="59A2B629">
      <w:pPr>
        <w:pStyle w:val="3"/>
        <w:numPr>
          <w:ilvl w:val="0"/>
          <w:numId w:val="23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业务流程：将真实音频时长换算为帧数；生成背景、图片和音频轨道片段；写入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Premiere导入.xml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；解析 XML 验证格式正确性。</w:t>
      </w:r>
    </w:p>
    <w:p w14:paraId="5AEC6307">
      <w:pPr>
        <w:pStyle w:val="3"/>
        <w:numPr>
          <w:ilvl w:val="0"/>
          <w:numId w:val="23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交互展示：输出 XML 文件及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导入说明.txt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；说明 Premiere 媒体重链接处理方式。</w:t>
      </w:r>
    </w:p>
    <w:p w14:paraId="1E01D4D6">
      <w:pPr>
        <w:pStyle w:val="3"/>
        <w:numPr>
          <w:ilvl w:val="0"/>
          <w:numId w:val="23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接口集成：与时间轴构建模块、媒体素材归集模块、Premiere Pro 导入能力和 XML 解析组件对接。</w:t>
      </w:r>
    </w:p>
    <w:bookmarkEnd w:id="48"/>
    <w:bookmarkEnd w:id="49"/>
    <w:p w14:paraId="58C09976">
      <w:pPr>
        <w:pStyle w:val="7"/>
        <w:keepNext/>
        <w:keepLines/>
        <w:numPr>
          <w:ilvl w:val="0"/>
          <w:numId w:val="22"/>
        </w:numPr>
        <w:spacing w:before="120" w:after="60" w:line="288" w:lineRule="auto"/>
        <w:ind w:left="0" w:leftChars="0" w:firstLine="0" w:firstLineChars="0"/>
        <w:rPr>
          <w:rFonts w:eastAsia="黑体"/>
          <w:b w:val="0"/>
          <w:bCs/>
          <w:sz w:val="28"/>
          <w:szCs w:val="28"/>
        </w:rPr>
      </w:pPr>
      <w:bookmarkStart w:id="50" w:name="交付压缩子模块"/>
      <w:r>
        <w:rPr>
          <w:rFonts w:ascii="黑体" w:hAnsi="黑体" w:eastAsia="黑体" w:cs="黑体"/>
          <w:b/>
          <w:bCs/>
          <w:color w:val="000000"/>
          <w:sz w:val="32"/>
          <w:szCs w:val="28"/>
        </w:rPr>
        <w:t>交付压缩子模块</w:t>
      </w:r>
    </w:p>
    <w:p w14:paraId="4326DA79">
      <w:pPr>
        <w:pStyle w:val="8"/>
        <w:keepNext/>
        <w:keepLines/>
        <w:spacing w:before="120" w:after="60" w:line="288" w:lineRule="auto"/>
        <w:rPr>
          <w:rFonts w:ascii="Times New Roman" w:hAnsi="Times New Roman" w:eastAsia="黑体" w:cs="Times New Roman"/>
          <w:b w:val="0"/>
          <w:bCs/>
          <w:sz w:val="28"/>
          <w:szCs w:val="24"/>
        </w:rPr>
      </w:pPr>
      <w:bookmarkStart w:id="51" w:name="premiere-交付包生成功能"/>
      <w:r>
        <w:rPr>
          <w:rFonts w:ascii="黑体" w:hAnsi="黑体" w:eastAsia="黑体" w:cs="黑体"/>
          <w:b/>
          <w:bCs/>
          <w:color w:val="000000"/>
          <w:sz w:val="32"/>
          <w:szCs w:val="24"/>
        </w:rPr>
        <w:t>1.2.3.2.2.1 Premiere 交付包生成功能</w:t>
      </w:r>
    </w:p>
    <w:p w14:paraId="292D24D0">
      <w:pPr>
        <w:pStyle w:val="3"/>
        <w:numPr>
          <w:ilvl w:val="0"/>
          <w:numId w:val="24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功能定义：将 Premiere 工程文件、媒体素材、字幕和说明文件压缩为可分发的 ZIP 包。</w:t>
      </w:r>
    </w:p>
    <w:p w14:paraId="5C30DBEF">
      <w:pPr>
        <w:pStyle w:val="3"/>
        <w:numPr>
          <w:ilvl w:val="0"/>
          <w:numId w:val="24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数据要素：导入包目录、XML 文件、图片数量、音频数量、字幕文件、背景视频、ZIP 文件路径及校验结果。</w:t>
      </w:r>
    </w:p>
    <w:p w14:paraId="0C232D94">
      <w:pPr>
        <w:pStyle w:val="3"/>
        <w:numPr>
          <w:ilvl w:val="0"/>
          <w:numId w:val="24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业务流程：校验 XML 可解析、图片与音频数量完整、字幕文件存在、背景视频生成成功；压缩生成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Premiere导入包.zip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；记录交付目录。</w:t>
      </w:r>
    </w:p>
    <w:p w14:paraId="3485359B">
      <w:pPr>
        <w:pStyle w:val="3"/>
        <w:numPr>
          <w:ilvl w:val="0"/>
          <w:numId w:val="24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交互展示：命令行输出 ZIP 路径；用户解压后导入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Premiere导入.xml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，并单独导入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subtitles/字幕.srt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。</w:t>
      </w:r>
    </w:p>
    <w:p w14:paraId="5CD2FCE5">
      <w:pPr>
        <w:pStyle w:val="3"/>
        <w:numPr>
          <w:ilvl w:val="0"/>
          <w:numId w:val="24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接口集成：与文件压缩组件、Premiere XML 生成模块、素材归集模块和本地文件系统对接。</w:t>
      </w:r>
    </w:p>
    <w:bookmarkEnd w:id="11"/>
    <w:bookmarkEnd w:id="43"/>
    <w:bookmarkEnd w:id="47"/>
    <w:bookmarkEnd w:id="50"/>
    <w:bookmarkEnd w:id="51"/>
    <w:p w14:paraId="6B7E81C7">
      <w:pPr>
        <w:pStyle w:val="4"/>
        <w:keepNext/>
        <w:keepLines/>
        <w:numPr>
          <w:ilvl w:val="0"/>
          <w:numId w:val="1"/>
        </w:numPr>
        <w:spacing w:before="240" w:after="120" w:line="288" w:lineRule="auto"/>
        <w:ind w:left="0" w:leftChars="0" w:firstLine="0" w:firstLineChars="0"/>
        <w:rPr>
          <w:rFonts w:eastAsia="黑体"/>
          <w:b w:val="0"/>
          <w:bCs w:val="0"/>
          <w:sz w:val="30"/>
          <w:szCs w:val="32"/>
        </w:rPr>
      </w:pPr>
      <w:bookmarkStart w:id="52" w:name="_Toc885943841"/>
      <w:bookmarkStart w:id="53" w:name="系统运营-配套服务"/>
      <w:r>
        <w:rPr>
          <w:rFonts w:ascii="黑体" w:hAnsi="黑体" w:eastAsia="黑体" w:cs="黑体"/>
          <w:b/>
          <w:bCs w:val="0"/>
          <w:color w:val="000000"/>
          <w:sz w:val="32"/>
          <w:szCs w:val="32"/>
        </w:rPr>
        <w:t>系统运营 / 配套服务</w:t>
      </w:r>
      <w:bookmarkEnd w:id="52"/>
    </w:p>
    <w:p w14:paraId="215A5E63">
      <w:pPr>
        <w:pStyle w:val="5"/>
        <w:keepNext/>
        <w:keepLines/>
        <w:spacing w:before="200" w:after="100" w:line="288" w:lineRule="auto"/>
        <w:rPr>
          <w:rFonts w:ascii="Times New Roman" w:hAnsi="Times New Roman" w:eastAsia="黑体" w:cs="Times New Roman"/>
          <w:b w:val="0"/>
          <w:bCs w:val="0"/>
          <w:sz w:val="30"/>
          <w:szCs w:val="24"/>
        </w:rPr>
      </w:pPr>
      <w:bookmarkStart w:id="54" w:name="_Toc1554011036"/>
      <w:bookmarkStart w:id="55" w:name="ui-设计服务"/>
      <w:r>
        <w:rPr>
          <w:rFonts w:ascii="黑体" w:hAnsi="黑体" w:eastAsia="黑体" w:cs="黑体"/>
          <w:b/>
          <w:bCs w:val="0"/>
          <w:color w:val="000000"/>
          <w:sz w:val="32"/>
          <w:szCs w:val="24"/>
        </w:rPr>
        <w:t>UI 设计服务</w:t>
      </w:r>
      <w:bookmarkEnd w:id="54"/>
    </w:p>
    <w:p w14:paraId="4F60F810">
      <w:pPr>
        <w:pStyle w:val="3"/>
        <w:spacing w:before="0" w:after="100" w:line="30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本期系统明确采用命令行工作流，不建设 Web、APP 或小程序界面。UI 设计服务范围限定为命令行反馈信息、审核文件字段可读性、Premiere 导入说明及交付目录命名规范。若后续提出可视化界面建设需求，应另行立项并在不改变确认门、文件名路由和媒体页码绑定原则的前提下开展设计。</w:t>
      </w:r>
    </w:p>
    <w:bookmarkEnd w:id="55"/>
    <w:p w14:paraId="44A0C7B2">
      <w:pPr>
        <w:pStyle w:val="5"/>
        <w:keepNext/>
        <w:keepLines/>
        <w:spacing w:before="200" w:after="100" w:line="288" w:lineRule="auto"/>
        <w:rPr>
          <w:rFonts w:ascii="Times New Roman" w:hAnsi="Times New Roman" w:eastAsia="黑体" w:cs="Times New Roman"/>
          <w:b w:val="0"/>
          <w:bCs w:val="0"/>
          <w:sz w:val="30"/>
          <w:szCs w:val="24"/>
        </w:rPr>
      </w:pPr>
      <w:bookmarkStart w:id="56" w:name="_Toc567367238"/>
      <w:bookmarkStart w:id="57" w:name="数据处理与对接服务"/>
      <w:r>
        <w:rPr>
          <w:rFonts w:ascii="黑体" w:hAnsi="黑体" w:eastAsia="黑体" w:cs="黑体"/>
          <w:b/>
          <w:bCs w:val="0"/>
          <w:color w:val="000000"/>
          <w:sz w:val="32"/>
          <w:szCs w:val="24"/>
        </w:rPr>
        <w:t>数据处理与对接服务</w:t>
      </w:r>
      <w:bookmarkEnd w:id="56"/>
    </w:p>
    <w:p w14:paraId="5B9E40E2">
      <w:pPr>
        <w:pStyle w:val="3"/>
        <w:spacing w:before="0" w:after="100" w:line="30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提供 PPT 文本、表格、备注提取服务，支持将逐页原始文本、内容处理结果、映射审核结果和时间轴结果以 JSON 文件保存。对接范围包括 DashScope 文本模型、火山引擎豆包 TTS、Edge TTS、Windows SAPI、LibreOffice、PyMuPDF、FFmpeg 及 Premiere Pro XML 导入能力。外部服务密钥由部署环境配置，系统不在业务数据和交付包中留存密钥。</w:t>
      </w:r>
    </w:p>
    <w:bookmarkEnd w:id="57"/>
    <w:p w14:paraId="0DD5BD00">
      <w:pPr>
        <w:pStyle w:val="5"/>
        <w:keepNext/>
        <w:keepLines/>
        <w:spacing w:before="200" w:after="100" w:line="288" w:lineRule="auto"/>
        <w:rPr>
          <w:rFonts w:ascii="Times New Roman" w:hAnsi="Times New Roman" w:eastAsia="黑体" w:cs="Times New Roman"/>
          <w:b w:val="0"/>
          <w:bCs w:val="0"/>
          <w:sz w:val="30"/>
          <w:szCs w:val="24"/>
        </w:rPr>
      </w:pPr>
      <w:bookmarkStart w:id="58" w:name="_Toc913776386"/>
      <w:bookmarkStart w:id="59" w:name="数据标准规范建设"/>
      <w:r>
        <w:rPr>
          <w:rFonts w:ascii="黑体" w:hAnsi="黑体" w:eastAsia="黑体" w:cs="黑体"/>
          <w:b/>
          <w:bCs w:val="0"/>
          <w:color w:val="000000"/>
          <w:sz w:val="32"/>
          <w:szCs w:val="24"/>
        </w:rPr>
        <w:t>数据标准规范建设</w:t>
      </w:r>
      <w:bookmarkEnd w:id="58"/>
    </w:p>
    <w:p w14:paraId="0E802393">
      <w:pPr>
        <w:pStyle w:val="3"/>
        <w:spacing w:before="0" w:after="100" w:line="30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建立以下数据与文件规范：</w:t>
      </w:r>
    </w:p>
    <w:p w14:paraId="721CB424">
      <w:pPr>
        <w:pStyle w:val="3"/>
        <w:numPr>
          <w:ilvl w:val="0"/>
          <w:numId w:val="2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材料命名规范：PPT 文件名必须包含且仅包含一种材料类型关键词“交班会”“重点督办”或“汇报资料”。</w:t>
      </w:r>
    </w:p>
    <w:p w14:paraId="1CADA04A">
      <w:pPr>
        <w:pStyle w:val="3"/>
        <w:numPr>
          <w:ilvl w:val="0"/>
          <w:numId w:val="2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提示词管理规范：四份提示词文件统一存放于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提示词/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目录，内容处理提示词与配音稿断句提示词分离维护。</w:t>
      </w:r>
    </w:p>
    <w:p w14:paraId="15303D10">
      <w:pPr>
        <w:pStyle w:val="3"/>
        <w:numPr>
          <w:ilvl w:val="0"/>
          <w:numId w:val="2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审核数据规范：使用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report_draft.json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、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source_extract.json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、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页码配音映射审核表.json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和 </w:t>
      </w:r>
      <w:r>
        <w:rPr>
          <w:rStyle w:val="51"/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report_data.json</w:t>
      </w: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 xml:space="preserve"> 记录源数据、审核稿和确认稿。</w:t>
      </w:r>
    </w:p>
    <w:p w14:paraId="2C2A4C19">
      <w:pPr>
        <w:pStyle w:val="3"/>
        <w:numPr>
          <w:ilvl w:val="0"/>
          <w:numId w:val="2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媒体命名规范：PPT 页面图片按三位页码命名；音频片段按“页码_分句序号”命名；字幕、时间轴、正片和 Premiere 导入包使用固定文件名。</w:t>
      </w:r>
    </w:p>
    <w:p w14:paraId="3F3BE3AD">
      <w:pPr>
        <w:pStyle w:val="3"/>
        <w:numPr>
          <w:ilvl w:val="0"/>
          <w:numId w:val="2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交付规范：交付前校验视频可播放、字幕可读取、XML 可解析、图片和音频数量完整；Premiere 交付包必须包含导入说明和素材清单。</w:t>
      </w:r>
    </w:p>
    <w:p w14:paraId="5C8779D7">
      <w:pPr>
        <w:pStyle w:val="3"/>
        <w:numPr>
          <w:ilvl w:val="0"/>
          <w:numId w:val="25"/>
        </w:numPr>
        <w:spacing w:before="0" w:after="100" w:line="300" w:lineRule="auto"/>
        <w:ind w:left="0" w:leftChars="0" w:firstLine="480" w:firstLineChars="0"/>
        <w:rPr>
          <w:rFonts w:hint="eastAsia" w:eastAsia="宋体"/>
          <w:b w:val="0"/>
          <w:bCs w:val="0"/>
          <w:sz w:val="24"/>
          <w:szCs w:val="24"/>
        </w:rPr>
      </w:pPr>
      <w:r>
        <w:rPr>
          <w:rFonts w:ascii="方正仿宋_GBK" w:hAnsi="方正仿宋_GBK" w:eastAsia="方正仿宋_GBK" w:cs="方正仿宋_GBK"/>
          <w:b w:val="0"/>
          <w:bCs w:val="0"/>
          <w:color w:val="000000"/>
          <w:sz w:val="32"/>
          <w:szCs w:val="24"/>
        </w:rPr>
        <w:t>安全规范：API Key 仅使用环境变量配置；日志、配置样例、文档和交付包不得包含真实密钥。</w:t>
      </w:r>
    </w:p>
    <w:bookmarkEnd w:id="1"/>
    <w:bookmarkEnd w:id="53"/>
    <w:bookmarkEnd w:id="59"/>
    <w:sectPr>
      <w:footerReference r:id="rId5" w:type="first"/>
      <w:footerReference r:id="rId4" w:type="default"/>
      <w:headerReference w:type="default" r:id="rId10"/>
      <w:headerReference w:type="first" r:id="rId11"/>
      <w:footnotePr>
        <w:numRestart w:val="eachSect"/>
      </w:footnotePr>
      <w:pgSz w:w="11906" w:h="16838"/>
      <w:pgMar w:top="1361" w:right="1417" w:bottom="1361" w:left="1417" w:header="680" w:footer="68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Consolas">
    <w:altName w:val="苹方-简"/>
    <w:panose1 w:val="020B0609020204030204"/>
    <w:charset w:val="00"/>
    <w:family w:val="auto"/>
    <w:pitch w:val="default"/>
    <w:sig w:usb0="00000000" w:usb1="00000000" w:usb2="00000001" w:usb3="00000000" w:csb0="600001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C86B95">
    <w:pPr>
      <w:jc w:val="center"/>
    </w:pPr>
    <w:r>
      <w:rPr>
        <w:rFonts w:ascii="方正仿宋_GBK" w:hAnsi="方正仿宋_GBK" w:eastAsia="方正仿宋_GBK" w:cs="方正仿宋_GBK"/>
        <w:color w:val="000000"/>
      </w:rPr>
      <w:fldChar w:fldCharType="begin"/>
    </w:r>
    <w:r>
      <w:rPr>
        <w:rFonts w:ascii="方正仿宋_GBK" w:hAnsi="方正仿宋_GBK" w:eastAsia="方正仿宋_GBK" w:cs="方正仿宋_GBK"/>
        <w:color w:val="000000"/>
      </w:rPr>
      <w:instrText xml:space="preserve"> PAGE </w:instrText>
    </w:r>
    <w:r>
      <w:rPr>
        <w:rFonts w:ascii="方正仿宋_GBK" w:hAnsi="方正仿宋_GBK" w:eastAsia="方正仿宋_GBK" w:cs="方正仿宋_GBK"/>
        <w:color w:val="000000"/>
      </w:rPr>
      <w:fldChar w:fldCharType="separate"/>
    </w:r>
    <w:r>
      <w:rPr>
        <w:rFonts w:ascii="方正仿宋_GBK" w:hAnsi="方正仿宋_GBK" w:eastAsia="方正仿宋_GBK" w:cs="方正仿宋_GBK"/>
        <w:color w:val="000000"/>
      </w:rPr>
      <w:t>2</w:t>
    </w:r>
    <w:r>
      <w:rPr>
        <w:rFonts w:ascii="方正仿宋_GBK" w:hAnsi="方正仿宋_GBK" w:eastAsia="方正仿宋_GBK" w:cs="方正仿宋_GBK"/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0AF3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9204ED"/>
    <w:multiLevelType w:val="singleLevel"/>
    <w:tmpl w:val="829204ED"/>
    <w:lvl w:ilvl="0" w:tentative="0">
      <w:start w:val="1"/>
      <w:numFmt w:val="decimal"/>
      <w:suff w:val="space"/>
      <w:lvlText w:val="1.2.1.%1"/>
      <w:lvlJc w:val="left"/>
      <w:pPr>
        <w:ind w:left="0" w:firstLine="0"/>
      </w:pPr>
      <w:rPr>
        <w:rFonts w:hint="default"/>
      </w:rPr>
    </w:lvl>
  </w:abstractNum>
  <w:abstractNum w:abstractNumId="1">
    <w:nsid w:val="8C7003C4"/>
    <w:multiLevelType w:val="singleLevel"/>
    <w:tmpl w:val="8C7003C4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2">
    <w:nsid w:val="AC434343"/>
    <w:multiLevelType w:val="singleLevel"/>
    <w:tmpl w:val="AC434343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3">
    <w:nsid w:val="AFD8C449"/>
    <w:multiLevelType w:val="singleLevel"/>
    <w:tmpl w:val="AFD8C449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4">
    <w:nsid w:val="B4D0859D"/>
    <w:multiLevelType w:val="singleLevel"/>
    <w:tmpl w:val="B4D0859D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5">
    <w:nsid w:val="C76122AE"/>
    <w:multiLevelType w:val="singleLevel"/>
    <w:tmpl w:val="C76122AE"/>
    <w:lvl w:ilvl="0" w:tentative="0">
      <w:start w:val="1"/>
      <w:numFmt w:val="decimal"/>
      <w:suff w:val="space"/>
      <w:lvlText w:val="1.%1"/>
      <w:lvlJc w:val="left"/>
      <w:pPr>
        <w:ind w:left="0" w:firstLine="0"/>
      </w:pPr>
      <w:rPr>
        <w:rFonts w:hint="default"/>
      </w:rPr>
    </w:lvl>
  </w:abstractNum>
  <w:abstractNum w:abstractNumId="6">
    <w:nsid w:val="C8A107DE"/>
    <w:multiLevelType w:val="singleLevel"/>
    <w:tmpl w:val="C8A107DE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7">
    <w:nsid w:val="D0E3D3E0"/>
    <w:multiLevelType w:val="singleLevel"/>
    <w:tmpl w:val="D0E3D3E0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8">
    <w:nsid w:val="DB170750"/>
    <w:multiLevelType w:val="singleLevel"/>
    <w:tmpl w:val="DB170750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9">
    <w:nsid w:val="DD51F569"/>
    <w:multiLevelType w:val="singleLevel"/>
    <w:tmpl w:val="DD51F569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10">
    <w:nsid w:val="ED8EC816"/>
    <w:multiLevelType w:val="singleLevel"/>
    <w:tmpl w:val="ED8EC816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11">
    <w:nsid w:val="F41604E5"/>
    <w:multiLevelType w:val="singleLevel"/>
    <w:tmpl w:val="F41604E5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12">
    <w:nsid w:val="F841D585"/>
    <w:multiLevelType w:val="singleLevel"/>
    <w:tmpl w:val="F841D585"/>
    <w:lvl w:ilvl="0" w:tentative="0">
      <w:start w:val="1"/>
      <w:numFmt w:val="decimal"/>
      <w:suff w:val="space"/>
      <w:lvlText w:val="1.2.2.2.%1"/>
      <w:lvlJc w:val="left"/>
      <w:pPr>
        <w:ind w:left="0" w:firstLine="0"/>
      </w:pPr>
      <w:rPr>
        <w:rFonts w:hint="default"/>
      </w:rPr>
    </w:lvl>
  </w:abstractNum>
  <w:abstractNum w:abstractNumId="13">
    <w:nsid w:val="FF46B6E3"/>
    <w:multiLevelType w:val="singleLevel"/>
    <w:tmpl w:val="FF46B6E3"/>
    <w:lvl w:ilvl="0" w:tentative="0">
      <w:start w:val="1"/>
      <w:numFmt w:val="decimal"/>
      <w:suff w:val="space"/>
      <w:lvlText w:val="1.2.2.3.%1"/>
      <w:lvlJc w:val="left"/>
      <w:pPr>
        <w:ind w:left="0" w:firstLine="0"/>
      </w:pPr>
      <w:rPr>
        <w:rFonts w:hint="default"/>
      </w:rPr>
    </w:lvl>
  </w:abstractNum>
  <w:abstractNum w:abstractNumId="14">
    <w:nsid w:val="0F18C2FE"/>
    <w:multiLevelType w:val="singleLevel"/>
    <w:tmpl w:val="0F18C2FE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15">
    <w:nsid w:val="103BBA25"/>
    <w:multiLevelType w:val="singleLevel"/>
    <w:tmpl w:val="103BBA25"/>
    <w:lvl w:ilvl="0" w:tentative="0">
      <w:start w:val="1"/>
      <w:numFmt w:val="decimal"/>
      <w:suff w:val="space"/>
      <w:lvlText w:val="1.2.1.2.%1"/>
      <w:lvlJc w:val="left"/>
      <w:pPr>
        <w:ind w:left="0" w:firstLine="0"/>
      </w:pPr>
      <w:rPr>
        <w:rFonts w:hint="default"/>
      </w:rPr>
    </w:lvl>
  </w:abstractNum>
  <w:abstractNum w:abstractNumId="16">
    <w:nsid w:val="1E20347D"/>
    <w:multiLevelType w:val="singleLevel"/>
    <w:tmpl w:val="1E20347D"/>
    <w:lvl w:ilvl="0" w:tentative="0">
      <w:start w:val="1"/>
      <w:numFmt w:val="decimal"/>
      <w:suff w:val="space"/>
      <w:lvlText w:val="1.2.3.%1"/>
      <w:lvlJc w:val="left"/>
      <w:pPr>
        <w:ind w:left="0" w:firstLine="0"/>
      </w:pPr>
      <w:rPr>
        <w:rFonts w:hint="default"/>
      </w:rPr>
    </w:lvl>
  </w:abstractNum>
  <w:abstractNum w:abstractNumId="17">
    <w:nsid w:val="2FC5B234"/>
    <w:multiLevelType w:val="singleLevel"/>
    <w:tmpl w:val="2FC5B234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18">
    <w:nsid w:val="3083007B"/>
    <w:multiLevelType w:val="singleLevel"/>
    <w:tmpl w:val="3083007B"/>
    <w:lvl w:ilvl="0" w:tentative="0">
      <w:start w:val="1"/>
      <w:numFmt w:val="decimal"/>
      <w:suff w:val="space"/>
      <w:lvlText w:val="1.2.2.%1"/>
      <w:lvlJc w:val="left"/>
      <w:pPr>
        <w:ind w:left="0" w:firstLine="0"/>
      </w:pPr>
      <w:rPr>
        <w:rFonts w:hint="default"/>
      </w:rPr>
    </w:lvl>
  </w:abstractNum>
  <w:abstractNum w:abstractNumId="19">
    <w:nsid w:val="37404709"/>
    <w:multiLevelType w:val="singleLevel"/>
    <w:tmpl w:val="37404709"/>
    <w:lvl w:ilvl="0" w:tentative="0">
      <w:start w:val="1"/>
      <w:numFmt w:val="decimal"/>
      <w:suff w:val="space"/>
      <w:lvlText w:val="1.2.3.2.%1"/>
      <w:lvlJc w:val="left"/>
      <w:pPr>
        <w:ind w:left="0" w:firstLine="0"/>
      </w:pPr>
      <w:rPr>
        <w:rFonts w:hint="default"/>
      </w:rPr>
    </w:lvl>
  </w:abstractNum>
  <w:abstractNum w:abstractNumId="20">
    <w:nsid w:val="53000C0A"/>
    <w:multiLevelType w:val="singleLevel"/>
    <w:tmpl w:val="53000C0A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21">
    <w:nsid w:val="54CB4F17"/>
    <w:multiLevelType w:val="singleLevel"/>
    <w:tmpl w:val="54CB4F17"/>
    <w:lvl w:ilvl="0" w:tentative="0">
      <w:start w:val="1"/>
      <w:numFmt w:val="decimal"/>
      <w:suff w:val="space"/>
      <w:lvlText w:val="1.2.%1"/>
      <w:lvlJc w:val="left"/>
      <w:pPr>
        <w:ind w:left="0" w:firstLine="0"/>
      </w:pPr>
      <w:rPr>
        <w:rFonts w:hint="default"/>
      </w:rPr>
    </w:lvl>
  </w:abstractNum>
  <w:abstractNum w:abstractNumId="22">
    <w:nsid w:val="5F7BF20A"/>
    <w:multiLevelType w:val="singleLevel"/>
    <w:tmpl w:val="5F7BF20A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23">
    <w:nsid w:val="777E2621"/>
    <w:multiLevelType w:val="singleLevel"/>
    <w:tmpl w:val="777E2621"/>
    <w:lvl w:ilvl="0" w:tentative="0">
      <w:start w:val="1"/>
      <w:numFmt w:val="decimal"/>
      <w:suff w:val="space"/>
      <w:lvlText w:val=""/>
      <w:lvlJc w:val="left"/>
      <w:pPr>
        <w:ind w:left="0" w:firstLine="480"/>
      </w:pPr>
      <w:rPr>
        <w:rFonts w:hint="default"/>
      </w:rPr>
    </w:lvl>
  </w:abstractNum>
  <w:abstractNum w:abstractNumId="24">
    <w:nsid w:val="79DCB1DE"/>
    <w:multiLevelType w:val="singleLevel"/>
    <w:tmpl w:val="79DCB1DE"/>
    <w:lvl w:ilvl="0" w:tentative="0">
      <w:start w:val="1"/>
      <w:numFmt w:val="decimal"/>
      <w:suff w:val="space"/>
      <w:lvlText w:val="1.2.1.3.%1"/>
      <w:lvlJc w:val="left"/>
      <w:pPr>
        <w:ind w:left="0" w:firstLine="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1"/>
  </w:num>
  <w:num w:numId="4">
    <w:abstractNumId w:val="0"/>
  </w:num>
  <w:num w:numId="5">
    <w:abstractNumId w:val="14"/>
  </w:num>
  <w:num w:numId="6">
    <w:abstractNumId w:val="15"/>
  </w:num>
  <w:num w:numId="7">
    <w:abstractNumId w:val="2"/>
  </w:num>
  <w:num w:numId="8">
    <w:abstractNumId w:val="4"/>
  </w:num>
  <w:num w:numId="9">
    <w:abstractNumId w:val="24"/>
  </w:num>
  <w:num w:numId="10">
    <w:abstractNumId w:val="6"/>
  </w:num>
  <w:num w:numId="11">
    <w:abstractNumId w:val="22"/>
  </w:num>
  <w:num w:numId="12">
    <w:abstractNumId w:val="18"/>
  </w:num>
  <w:num w:numId="13">
    <w:abstractNumId w:val="1"/>
  </w:num>
  <w:num w:numId="14">
    <w:abstractNumId w:val="12"/>
  </w:num>
  <w:num w:numId="15">
    <w:abstractNumId w:val="17"/>
  </w:num>
  <w:num w:numId="16">
    <w:abstractNumId w:val="7"/>
  </w:num>
  <w:num w:numId="17">
    <w:abstractNumId w:val="13"/>
  </w:num>
  <w:num w:numId="18">
    <w:abstractNumId w:val="10"/>
  </w:num>
  <w:num w:numId="19">
    <w:abstractNumId w:val="9"/>
  </w:num>
  <w:num w:numId="20">
    <w:abstractNumId w:val="16"/>
  </w:num>
  <w:num w:numId="21">
    <w:abstractNumId w:val="20"/>
  </w:num>
  <w:num w:numId="22">
    <w:abstractNumId w:val="19"/>
  </w:num>
  <w:num w:numId="23">
    <w:abstractNumId w:val="23"/>
  </w:num>
  <w:num w:numId="24">
    <w:abstractNumId w:val="11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splitPgBreakAndParaMark/>
    <w:compatSetting w:name="compatibilityMode" w:uri="http://schemas.microsoft.com/office/word" w:val="12"/>
  </w:compat>
  <w:rsids>
    <w:rsidRoot w:val="00000000"/>
    <w:rsid w:val="45356EC9"/>
    <w:rsid w:val="4ADD7DE7"/>
    <w:rsid w:val="5B463B60"/>
    <w:rsid w:val="73F47399"/>
    <w:rsid w:val="74B070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  <w:updateFields w:val="true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 w:ascii="方正仿宋_GBK" w:hAnsi="方正仿宋_GBK" w:eastAsia="方正仿宋_GBK" w:cs="方正仿宋_GBK"/>
      <w:color w:val="000000"/>
      <w:sz w:val="32"/>
      <w:szCs w:val="24"/>
      <w:lang w:val="en-US" w:eastAsia="zh-CN" w:bidi="ar-SA"/>
    </w:rPr>
  </w:style>
  <w:style w:type="paragraph" w:styleId="2">
    <w:name w:val="heading 1"/>
    <w:next w:val="3"/>
    <w:link w:val="34"/>
    <w:qFormat/>
    <w:uiPriority w:val="9"/>
    <w:pPr>
      <w:keepNext/>
      <w:keepLines/>
      <w:widowControl w:val="0"/>
      <w:adjustRightInd w:val="0"/>
      <w:spacing w:before="320" w:after="160" w:line="288" w:lineRule="auto"/>
      <w:jc w:val="both"/>
      <w:outlineLvl w:val="0"/>
    </w:pPr>
    <w:rPr>
      <w:rFonts w:ascii="黑体" w:hAnsi="黑体" w:eastAsia="黑体" w:cs="黑体"/>
      <w:b/>
      <w:color w:val="000000"/>
      <w:kern w:val="44"/>
      <w:sz w:val="32"/>
      <w:szCs w:val="44"/>
      <w:lang w:bidi="ar-SA"/>
    </w:rPr>
  </w:style>
  <w:style w:type="paragraph" w:styleId="4">
    <w:name w:val="heading 2"/>
    <w:next w:val="3"/>
    <w:unhideWhenUsed/>
    <w:qFormat/>
    <w:uiPriority w:val="9"/>
    <w:pPr>
      <w:keepNext/>
      <w:keepLines/>
      <w:widowControl w:val="0"/>
      <w:adjustRightInd w:val="0"/>
      <w:spacing w:before="240" w:after="120" w:line="288" w:lineRule="auto"/>
      <w:jc w:val="both"/>
      <w:outlineLvl w:val="1"/>
    </w:pPr>
    <w:rPr>
      <w:rFonts w:ascii="黑体" w:hAnsi="黑体" w:eastAsia="黑体" w:cs="黑体"/>
      <w:b/>
      <w:color w:val="000000"/>
      <w:kern w:val="2"/>
      <w:sz w:val="32"/>
      <w:szCs w:val="32"/>
      <w:lang w:bidi="ar-SA"/>
    </w:rPr>
  </w:style>
  <w:style w:type="paragraph" w:styleId="5">
    <w:name w:val="heading 3"/>
    <w:next w:val="3"/>
    <w:unhideWhenUsed/>
    <w:qFormat/>
    <w:uiPriority w:val="9"/>
    <w:pPr>
      <w:keepNext/>
      <w:keepLines/>
      <w:widowControl w:val="0"/>
      <w:adjustRightInd w:val="0"/>
      <w:spacing w:before="200" w:after="100" w:line="288" w:lineRule="auto"/>
      <w:jc w:val="both"/>
      <w:outlineLvl w:val="2"/>
    </w:pPr>
    <w:rPr>
      <w:rFonts w:ascii="黑体" w:hAnsi="黑体" w:eastAsia="黑体" w:cs="黑体"/>
      <w:b/>
      <w:color w:val="000000"/>
      <w:kern w:val="2"/>
      <w:sz w:val="32"/>
      <w:szCs w:val="24"/>
      <w:lang w:bidi="ar-SA"/>
    </w:rPr>
  </w:style>
  <w:style w:type="paragraph" w:styleId="6">
    <w:name w:val="heading 4"/>
    <w:next w:val="3"/>
    <w:link w:val="37"/>
    <w:unhideWhenUsed/>
    <w:qFormat/>
    <w:uiPriority w:val="9"/>
    <w:pPr>
      <w:keepNext/>
      <w:keepLines/>
      <w:widowControl w:val="0"/>
      <w:adjustRightInd w:val="0"/>
      <w:spacing w:before="160" w:after="80" w:line="288" w:lineRule="auto"/>
      <w:jc w:val="both"/>
      <w:outlineLvl w:val="3"/>
    </w:pPr>
    <w:rPr>
      <w:rFonts w:ascii="黑体" w:hAnsi="黑体" w:eastAsia="黑体" w:cs="黑体"/>
      <w:b/>
      <w:bCs/>
      <w:color w:val="000000"/>
      <w:kern w:val="2"/>
      <w:sz w:val="32"/>
      <w:szCs w:val="28"/>
      <w:lang w:bidi="ar-SA"/>
    </w:rPr>
  </w:style>
  <w:style w:type="paragraph" w:styleId="7">
    <w:name w:val="heading 5"/>
    <w:next w:val="3"/>
    <w:link w:val="38"/>
    <w:unhideWhenUsed/>
    <w:qFormat/>
    <w:uiPriority w:val="9"/>
    <w:pPr>
      <w:keepNext/>
      <w:keepLines/>
      <w:widowControl w:val="0"/>
      <w:adjustRightInd w:val="0"/>
      <w:spacing w:before="120" w:after="60" w:line="288" w:lineRule="auto"/>
      <w:jc w:val="both"/>
      <w:outlineLvl w:val="4"/>
    </w:pPr>
    <w:rPr>
      <w:rFonts w:ascii="黑体" w:hAnsi="黑体" w:eastAsia="黑体" w:cs="黑体"/>
      <w:b/>
      <w:bCs/>
      <w:color w:val="000000"/>
      <w:kern w:val="2"/>
      <w:sz w:val="32"/>
      <w:szCs w:val="28"/>
      <w:lang w:bidi="ar-SA"/>
    </w:rPr>
  </w:style>
  <w:style w:type="paragraph" w:styleId="8">
    <w:name w:val="heading 6"/>
    <w:next w:val="3"/>
    <w:link w:val="39"/>
    <w:unhideWhenUsed/>
    <w:qFormat/>
    <w:uiPriority w:val="9"/>
    <w:pPr>
      <w:keepNext/>
      <w:keepLines/>
      <w:widowControl w:val="0"/>
      <w:adjustRightInd w:val="0"/>
      <w:spacing w:before="120" w:after="60" w:line="288" w:lineRule="auto"/>
      <w:jc w:val="both"/>
      <w:outlineLvl w:val="5"/>
    </w:pPr>
    <w:rPr>
      <w:rFonts w:ascii="黑体" w:hAnsi="黑体" w:eastAsia="黑体" w:cs="黑体"/>
      <w:b/>
      <w:bCs/>
      <w:color w:val="000000"/>
      <w:kern w:val="2"/>
      <w:sz w:val="32"/>
      <w:szCs w:val="24"/>
      <w:lang w:bidi="ar-SA"/>
    </w:rPr>
  </w:style>
  <w:style w:type="paragraph" w:styleId="9">
    <w:name w:val="heading 7"/>
    <w:next w:val="3"/>
    <w:link w:val="40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黑体" w:hAnsi="黑体" w:eastAsia="黑体" w:cs="黑体"/>
      <w:bCs/>
      <w:color w:val="000000"/>
      <w:kern w:val="2"/>
      <w:sz w:val="32"/>
      <w:szCs w:val="24"/>
      <w:lang w:bidi="ar-SA"/>
    </w:rPr>
  </w:style>
  <w:style w:type="paragraph" w:styleId="10">
    <w:name w:val="heading 8"/>
    <w:next w:val="3"/>
    <w:link w:val="41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黑体" w:hAnsi="黑体" w:eastAsia="黑体" w:cs="黑体"/>
      <w:color w:val="000000"/>
      <w:kern w:val="2"/>
      <w:sz w:val="32"/>
      <w:szCs w:val="24"/>
      <w:lang w:bidi="ar-SA"/>
    </w:rPr>
  </w:style>
  <w:style w:type="paragraph" w:styleId="11">
    <w:name w:val="heading 9"/>
    <w:next w:val="3"/>
    <w:link w:val="42"/>
    <w:semiHidden/>
    <w:unhideWhenUsed/>
    <w:qFormat/>
    <w:uiPriority w:val="9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黑体" w:hAnsi="黑体" w:eastAsia="黑体" w:cs="黑体"/>
      <w:color w:val="000000"/>
      <w:kern w:val="2"/>
      <w:sz w:val="32"/>
      <w:szCs w:val="21"/>
      <w:lang w:bidi="ar-SA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1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方正仿宋_GBK" w:hAnsi="方正仿宋_GBK" w:eastAsia="方正仿宋_GBK" w:cs="方正仿宋_GBK"/>
      <w:color w:val="000000"/>
      <w:kern w:val="2"/>
      <w:sz w:val="32"/>
      <w:szCs w:val="24"/>
      <w:lang w:bidi="ar-SA"/>
    </w:rPr>
  </w:style>
  <w:style w:type="paragraph" w:styleId="12">
    <w:name w:val="caption"/>
    <w:basedOn w:val="1"/>
    <w:qFormat/>
    <w:uiPriority w:val="0"/>
    <w:pPr>
      <w:spacing w:before="0" w:after="120"/>
    </w:pPr>
    <w:rPr>
      <w:rFonts w:ascii="方正仿宋_GBK" w:hAnsi="方正仿宋_GBK" w:eastAsia="方正仿宋_GBK" w:cs="方正仿宋_GBK"/>
      <w:i/>
      <w:color w:val="000000"/>
      <w:sz w:val="32"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toc 3"/>
    <w:basedOn w:val="1"/>
    <w:next w:val="1"/>
    <w:uiPriority w:val="0"/>
    <w:pPr>
      <w:ind w:left="840" w:leftChars="400"/>
    </w:pPr>
    <w:rPr>
      <w:rFonts w:ascii="方正仿宋_GBK" w:hAnsi="方正仿宋_GBK" w:eastAsia="方正仿宋_GBK" w:cs="方正仿宋_GBK"/>
      <w:color w:val="000000"/>
      <w:sz w:val="32"/>
    </w:rPr>
  </w:style>
  <w:style w:type="paragraph" w:styleId="15">
    <w:name w:val="Date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styleId="16">
    <w:name w:val="Title"/>
    <w:next w:val="3"/>
    <w:qFormat/>
    <w:uiPriority w:val="1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黑体" w:hAnsi="黑体" w:eastAsia="黑体" w:cs="黑体"/>
      <w:b/>
      <w:color w:val="000000"/>
      <w:kern w:val="2"/>
      <w:sz w:val="54"/>
      <w:szCs w:val="24"/>
      <w:lang w:bidi="ar-SA"/>
    </w:rPr>
  </w:style>
  <w:style w:type="paragraph" w:styleId="17">
    <w:name w:val="toc 1"/>
    <w:basedOn w:val="1"/>
    <w:next w:val="1"/>
    <w:uiPriority w:val="0"/>
    <w:rPr>
      <w:rFonts w:ascii="方正仿宋_GBK" w:hAnsi="方正仿宋_GBK" w:eastAsia="方正仿宋_GBK" w:cs="方正仿宋_GBK"/>
      <w:color w:val="000000"/>
      <w:sz w:val="32"/>
    </w:rPr>
  </w:style>
  <w:style w:type="paragraph" w:styleId="18">
    <w:name w:val="Subtitle"/>
    <w:next w:val="3"/>
    <w:qFormat/>
    <w:uiPriority w:val="11"/>
    <w:pPr>
      <w:widowControl w:val="0"/>
      <w:adjustRightInd w:val="0"/>
      <w:spacing w:before="100" w:after="100" w:line="240" w:lineRule="auto"/>
      <w:jc w:val="center"/>
      <w:outlineLvl w:val="9"/>
    </w:pPr>
    <w:rPr>
      <w:rFonts w:ascii="黑体" w:hAnsi="黑体" w:eastAsia="黑体" w:cs="黑体"/>
      <w:color w:val="000000"/>
      <w:kern w:val="28"/>
      <w:sz w:val="32"/>
      <w:szCs w:val="24"/>
      <w:lang w:bidi="ar-SA"/>
    </w:rPr>
  </w:style>
  <w:style w:type="paragraph" w:styleId="19">
    <w:name w:val="footnote text"/>
    <w:basedOn w:val="1"/>
    <w:unhideWhenUsed/>
    <w:qFormat/>
    <w:uiPriority w:val="9"/>
  </w:style>
  <w:style w:type="paragraph" w:styleId="20">
    <w:name w:val="toc 2"/>
    <w:basedOn w:val="1"/>
    <w:next w:val="1"/>
    <w:uiPriority w:val="0"/>
    <w:pPr>
      <w:ind w:left="420" w:leftChars="200"/>
    </w:pPr>
    <w:rPr>
      <w:rFonts w:ascii="方正仿宋_GBK" w:hAnsi="方正仿宋_GBK" w:eastAsia="方正仿宋_GBK" w:cs="方正仿宋_GBK"/>
      <w:color w:val="000000"/>
      <w:sz w:val="32"/>
    </w:rPr>
  </w:style>
  <w:style w:type="character" w:styleId="23">
    <w:name w:val="Hyperlink"/>
    <w:basedOn w:val="24"/>
    <w:uiPriority w:val="0"/>
    <w:rPr>
      <w:color w:val="4874CB" w:themeColor="accent1"/>
    </w:rPr>
  </w:style>
  <w:style w:type="character" w:customStyle="1" w:styleId="24">
    <w:name w:val="Body Text Char"/>
    <w:basedOn w:val="22"/>
    <w:qFormat/>
    <w:uiPriority w:val="0"/>
  </w:style>
  <w:style w:type="character" w:styleId="25">
    <w:name w:val="footnote reference"/>
    <w:basedOn w:val="24"/>
    <w:uiPriority w:val="0"/>
    <w:rPr>
      <w:vertAlign w:val="superscript"/>
    </w:rPr>
  </w:style>
  <w:style w:type="paragraph" w:customStyle="1" w:styleId="26">
    <w:name w:val="First Paragraph"/>
    <w:basedOn w:val="3"/>
    <w:next w:val="3"/>
    <w:qFormat/>
    <w:uiPriority w:val="0"/>
  </w:style>
  <w:style w:type="paragraph" w:customStyle="1" w:styleId="27">
    <w:name w:val="Compact"/>
    <w:basedOn w:val="3"/>
    <w:qFormat/>
    <w:uiPriority w:val="0"/>
    <w:pPr>
      <w:spacing w:before="36" w:after="36"/>
    </w:pPr>
  </w:style>
  <w:style w:type="character" w:customStyle="1" w:styleId="28">
    <w:name w:val="Title Char"/>
    <w:basedOn w:val="22"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9">
    <w:name w:val="Subtitle Char"/>
    <w:basedOn w:val="22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30">
    <w:name w:val="Author"/>
    <w:basedOn w:val="16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31">
    <w:name w:val="Abstract Title"/>
    <w:basedOn w:val="1"/>
    <w:next w:val="32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32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3">
    <w:name w:val="Bibliography"/>
    <w:basedOn w:val="1"/>
    <w:qFormat/>
    <w:uiPriority w:val="0"/>
  </w:style>
  <w:style w:type="character" w:customStyle="1" w:styleId="34">
    <w:name w:val="Heading 1 Char"/>
    <w:basedOn w:val="22"/>
    <w:link w:val="2"/>
    <w:uiPriority w:val="9"/>
    <w:rPr>
      <w:rFonts w:ascii="黑体" w:hAnsi="黑体" w:eastAsia="黑体" w:cs="黑体"/>
      <w:color w:val="000000"/>
      <w:kern w:val="44"/>
      <w:sz w:val="32"/>
      <w:szCs w:val="44"/>
    </w:rPr>
  </w:style>
  <w:style w:type="character" w:customStyle="1" w:styleId="35">
    <w:name w:val="Heading 2 Char"/>
    <w:basedOn w:val="22"/>
    <w:semiHidden/>
    <w:uiPriority w:val="9"/>
    <w:rPr>
      <w:rFonts w:asciiTheme="majorHAnsi" w:hAnsiTheme="majorHAnsi" w:eastAsiaTheme="majorEastAsia" w:cstheme="majorBidi" w:ascii="黑体" w:hAnsi="黑体" w:eastAsia="黑体" w:cs="黑体"/>
      <w:color w:val="000000"/>
      <w:sz w:val="32"/>
      <w:szCs w:val="32"/>
    </w:rPr>
  </w:style>
  <w:style w:type="character" w:customStyle="1" w:styleId="36">
    <w:name w:val="Heading 3 Char"/>
    <w:basedOn w:val="22"/>
    <w:semiHidden/>
    <w:qFormat/>
    <w:uiPriority w:val="9"/>
    <w:rPr>
      <w:rFonts w:eastAsiaTheme="majorEastAsia" w:cstheme="majorBidi" w:ascii="黑体" w:hAnsi="黑体" w:eastAsia="黑体" w:cs="黑体"/>
      <w:color w:val="000000"/>
      <w:sz w:val="32"/>
      <w:szCs w:val="28"/>
    </w:rPr>
  </w:style>
  <w:style w:type="character" w:customStyle="1" w:styleId="37">
    <w:name w:val="Heading 4 Char"/>
    <w:basedOn w:val="22"/>
    <w:link w:val="6"/>
    <w:semiHidden/>
    <w:qFormat/>
    <w:uiPriority w:val="9"/>
    <w:rPr>
      <w:rFonts w:ascii="黑体" w:hAnsi="黑体" w:eastAsia="黑体" w:cs="黑体"/>
      <w:bCs/>
      <w:color w:val="000000"/>
      <w:kern w:val="2"/>
      <w:sz w:val="32"/>
      <w:szCs w:val="28"/>
    </w:rPr>
  </w:style>
  <w:style w:type="character" w:customStyle="1" w:styleId="38">
    <w:name w:val="Heading 5 Char"/>
    <w:basedOn w:val="22"/>
    <w:link w:val="7"/>
    <w:semiHidden/>
    <w:qFormat/>
    <w:uiPriority w:val="9"/>
    <w:rPr>
      <w:rFonts w:ascii="黑体" w:hAnsi="黑体" w:eastAsia="黑体" w:cs="黑体"/>
      <w:bCs/>
      <w:color w:val="000000"/>
      <w:kern w:val="2"/>
      <w:sz w:val="32"/>
      <w:szCs w:val="28"/>
    </w:rPr>
  </w:style>
  <w:style w:type="character" w:customStyle="1" w:styleId="39">
    <w:name w:val="Heading 6 Char"/>
    <w:basedOn w:val="22"/>
    <w:link w:val="8"/>
    <w:semiHidden/>
    <w:uiPriority w:val="9"/>
    <w:rPr>
      <w:rFonts w:ascii="黑体" w:hAnsi="黑体" w:eastAsia="黑体" w:cs="黑体"/>
      <w:bCs/>
      <w:color w:val="000000"/>
      <w:kern w:val="2"/>
      <w:sz w:val="32"/>
      <w:szCs w:val="24"/>
    </w:rPr>
  </w:style>
  <w:style w:type="character" w:customStyle="1" w:styleId="40">
    <w:name w:val="Heading 7 Char"/>
    <w:basedOn w:val="22"/>
    <w:link w:val="9"/>
    <w:semiHidden/>
    <w:uiPriority w:val="9"/>
    <w:rPr>
      <w:rFonts w:ascii="黑体" w:hAnsi="黑体" w:eastAsia="黑体" w:cs="黑体"/>
      <w:bCs/>
      <w:color w:val="000000"/>
      <w:kern w:val="2"/>
      <w:sz w:val="32"/>
      <w:szCs w:val="24"/>
    </w:rPr>
  </w:style>
  <w:style w:type="character" w:customStyle="1" w:styleId="41">
    <w:name w:val="Heading 8 Char"/>
    <w:basedOn w:val="22"/>
    <w:link w:val="10"/>
    <w:semiHidden/>
    <w:qFormat/>
    <w:uiPriority w:val="9"/>
    <w:rPr>
      <w:rFonts w:ascii="黑体" w:hAnsi="黑体" w:eastAsia="黑体" w:cs="黑体"/>
      <w:color w:val="000000"/>
      <w:kern w:val="2"/>
      <w:sz w:val="32"/>
      <w:szCs w:val="24"/>
    </w:rPr>
  </w:style>
  <w:style w:type="character" w:customStyle="1" w:styleId="42">
    <w:name w:val="Heading 9 Char"/>
    <w:basedOn w:val="22"/>
    <w:link w:val="11"/>
    <w:semiHidden/>
    <w:qFormat/>
    <w:uiPriority w:val="9"/>
    <w:rPr>
      <w:rFonts w:ascii="黑体" w:hAnsi="黑体" w:eastAsia="黑体" w:cs="黑体"/>
      <w:color w:val="000000"/>
      <w:kern w:val="2"/>
      <w:sz w:val="32"/>
      <w:szCs w:val="21"/>
    </w:rPr>
  </w:style>
  <w:style w:type="paragraph" w:customStyle="1" w:styleId="43">
    <w:name w:val="Footnote Block Text"/>
    <w:basedOn w:val="19"/>
    <w:next w:val="19"/>
    <w:unhideWhenUsed/>
    <w:qFormat/>
    <w:uiPriority w:val="9"/>
    <w:pPr>
      <w:spacing w:before="100" w:after="100"/>
      <w:ind w:left="480" w:right="480" w:firstLine="0"/>
    </w:pPr>
  </w:style>
  <w:style w:type="table" w:customStyle="1" w:styleId="44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5">
    <w:name w:val="Definition Term"/>
    <w:basedOn w:val="1"/>
    <w:next w:val="46"/>
    <w:qFormat/>
    <w:uiPriority w:val="0"/>
    <w:pPr>
      <w:keepNext/>
      <w:keepLines/>
      <w:spacing w:after="0"/>
    </w:pPr>
    <w:rPr>
      <w:b/>
    </w:rPr>
  </w:style>
  <w:style w:type="paragraph" w:customStyle="1" w:styleId="46">
    <w:name w:val="Definition"/>
    <w:basedOn w:val="1"/>
    <w:uiPriority w:val="0"/>
  </w:style>
  <w:style w:type="paragraph" w:customStyle="1" w:styleId="47">
    <w:name w:val="Table Caption"/>
    <w:basedOn w:val="12"/>
    <w:uiPriority w:val="0"/>
    <w:pPr>
      <w:keepNext/>
    </w:pPr>
  </w:style>
  <w:style w:type="paragraph" w:customStyle="1" w:styleId="48">
    <w:name w:val="Image Caption"/>
    <w:basedOn w:val="12"/>
    <w:qFormat/>
    <w:uiPriority w:val="0"/>
  </w:style>
  <w:style w:type="paragraph" w:customStyle="1" w:styleId="49">
    <w:name w:val="Figure"/>
    <w:basedOn w:val="1"/>
    <w:uiPriority w:val="0"/>
  </w:style>
  <w:style w:type="paragraph" w:customStyle="1" w:styleId="50">
    <w:name w:val="Captioned Figure"/>
    <w:basedOn w:val="49"/>
    <w:uiPriority w:val="0"/>
    <w:pPr>
      <w:keepNext/>
    </w:pPr>
  </w:style>
  <w:style w:type="character" w:customStyle="1" w:styleId="51">
    <w:name w:val="Verbatim Char"/>
    <w:basedOn w:val="24"/>
    <w:link w:val="52"/>
    <w:uiPriority w:val="0"/>
    <w:rPr>
      <w:rFonts w:ascii="Consolas" w:hAnsi="Consolas"/>
      <w:sz w:val="22"/>
    </w:rPr>
  </w:style>
  <w:style w:type="paragraph" w:customStyle="1" w:styleId="52">
    <w:name w:val="Source Code"/>
    <w:basedOn w:val="1"/>
    <w:link w:val="51"/>
    <w:uiPriority w:val="0"/>
    <w:pPr>
      <w:wordWrap w:val="0"/>
    </w:pPr>
  </w:style>
  <w:style w:type="character" w:customStyle="1" w:styleId="53">
    <w:name w:val="Section Number"/>
    <w:basedOn w:val="24"/>
    <w:uiPriority w:val="0"/>
  </w:style>
  <w:style w:type="paragraph" w:customStyle="1" w:styleId="54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 w:ascii="方正仿宋_GBK" w:hAnsi="方正仿宋_GBK" w:eastAsia="方正仿宋_GBK" w:cs="方正仿宋_GBK"/>
      <w:color w:val="000000"/>
      <w:sz w:val="32"/>
    </w:rPr>
  </w:style>
  <w:style w:type="character" w:customStyle="1" w:styleId="55">
    <w:name w:val="KeywordTok"/>
    <w:basedOn w:val="51"/>
    <w:uiPriority w:val="0"/>
    <w:rPr>
      <w:b/>
      <w:color w:val="007020"/>
    </w:rPr>
  </w:style>
  <w:style w:type="character" w:customStyle="1" w:styleId="56">
    <w:name w:val="DataTypeTok"/>
    <w:basedOn w:val="51"/>
    <w:uiPriority w:val="0"/>
    <w:rPr>
      <w:color w:val="902000"/>
    </w:rPr>
  </w:style>
  <w:style w:type="character" w:customStyle="1" w:styleId="57">
    <w:name w:val="DecValTok"/>
    <w:basedOn w:val="51"/>
    <w:uiPriority w:val="0"/>
    <w:rPr>
      <w:color w:val="40A070"/>
    </w:rPr>
  </w:style>
  <w:style w:type="character" w:customStyle="1" w:styleId="58">
    <w:name w:val="BaseNTok"/>
    <w:basedOn w:val="51"/>
    <w:uiPriority w:val="0"/>
    <w:rPr>
      <w:color w:val="40A070"/>
    </w:rPr>
  </w:style>
  <w:style w:type="character" w:customStyle="1" w:styleId="59">
    <w:name w:val="FloatTok"/>
    <w:basedOn w:val="51"/>
    <w:uiPriority w:val="0"/>
    <w:rPr>
      <w:color w:val="40A070"/>
    </w:rPr>
  </w:style>
  <w:style w:type="character" w:customStyle="1" w:styleId="60">
    <w:name w:val="ConstantTok"/>
    <w:basedOn w:val="51"/>
    <w:uiPriority w:val="0"/>
    <w:rPr>
      <w:color w:val="880000"/>
    </w:rPr>
  </w:style>
  <w:style w:type="character" w:customStyle="1" w:styleId="61">
    <w:name w:val="CharTok"/>
    <w:basedOn w:val="51"/>
    <w:qFormat/>
    <w:uiPriority w:val="0"/>
    <w:rPr>
      <w:color w:val="4070A0"/>
    </w:rPr>
  </w:style>
  <w:style w:type="character" w:customStyle="1" w:styleId="62">
    <w:name w:val="SpecialCharTok"/>
    <w:basedOn w:val="51"/>
    <w:qFormat/>
    <w:uiPriority w:val="0"/>
    <w:rPr>
      <w:color w:val="4070A0"/>
    </w:rPr>
  </w:style>
  <w:style w:type="character" w:customStyle="1" w:styleId="63">
    <w:name w:val="StringTok"/>
    <w:basedOn w:val="51"/>
    <w:qFormat/>
    <w:uiPriority w:val="0"/>
    <w:rPr>
      <w:color w:val="4070A0"/>
    </w:rPr>
  </w:style>
  <w:style w:type="character" w:customStyle="1" w:styleId="64">
    <w:name w:val="VerbatimStringTok"/>
    <w:basedOn w:val="51"/>
    <w:qFormat/>
    <w:uiPriority w:val="0"/>
    <w:rPr>
      <w:color w:val="4070A0"/>
    </w:rPr>
  </w:style>
  <w:style w:type="character" w:customStyle="1" w:styleId="65">
    <w:name w:val="SpecialStringTok"/>
    <w:basedOn w:val="51"/>
    <w:qFormat/>
    <w:uiPriority w:val="0"/>
    <w:rPr>
      <w:color w:val="BB6688"/>
    </w:rPr>
  </w:style>
  <w:style w:type="character" w:customStyle="1" w:styleId="66">
    <w:name w:val="ImportTok"/>
    <w:basedOn w:val="51"/>
    <w:qFormat/>
    <w:uiPriority w:val="0"/>
    <w:rPr>
      <w:b/>
      <w:color w:val="008000"/>
    </w:rPr>
  </w:style>
  <w:style w:type="character" w:customStyle="1" w:styleId="67">
    <w:name w:val="CommentTok"/>
    <w:basedOn w:val="51"/>
    <w:qFormat/>
    <w:uiPriority w:val="0"/>
    <w:rPr>
      <w:i/>
      <w:color w:val="60A0B0"/>
    </w:rPr>
  </w:style>
  <w:style w:type="character" w:customStyle="1" w:styleId="68">
    <w:name w:val="DocumentationTok"/>
    <w:basedOn w:val="51"/>
    <w:qFormat/>
    <w:uiPriority w:val="0"/>
    <w:rPr>
      <w:i/>
      <w:color w:val="BA2121"/>
    </w:rPr>
  </w:style>
  <w:style w:type="character" w:customStyle="1" w:styleId="69">
    <w:name w:val="AnnotationTok"/>
    <w:basedOn w:val="51"/>
    <w:qFormat/>
    <w:uiPriority w:val="0"/>
    <w:rPr>
      <w:b/>
      <w:i/>
      <w:color w:val="60A0B0"/>
    </w:rPr>
  </w:style>
  <w:style w:type="character" w:customStyle="1" w:styleId="70">
    <w:name w:val="CommentVarTok"/>
    <w:basedOn w:val="51"/>
    <w:qFormat/>
    <w:uiPriority w:val="0"/>
    <w:rPr>
      <w:b/>
      <w:i/>
      <w:color w:val="60A0B0"/>
    </w:rPr>
  </w:style>
  <w:style w:type="character" w:customStyle="1" w:styleId="71">
    <w:name w:val="OtherTok"/>
    <w:basedOn w:val="51"/>
    <w:qFormat/>
    <w:uiPriority w:val="0"/>
    <w:rPr>
      <w:color w:val="007020"/>
    </w:rPr>
  </w:style>
  <w:style w:type="character" w:customStyle="1" w:styleId="72">
    <w:name w:val="FunctionTok"/>
    <w:basedOn w:val="51"/>
    <w:qFormat/>
    <w:uiPriority w:val="0"/>
    <w:rPr>
      <w:color w:val="06287E"/>
    </w:rPr>
  </w:style>
  <w:style w:type="character" w:customStyle="1" w:styleId="73">
    <w:name w:val="VariableTok"/>
    <w:basedOn w:val="51"/>
    <w:qFormat/>
    <w:uiPriority w:val="0"/>
    <w:rPr>
      <w:color w:val="19177C"/>
    </w:rPr>
  </w:style>
  <w:style w:type="character" w:customStyle="1" w:styleId="74">
    <w:name w:val="ControlFlowTok"/>
    <w:basedOn w:val="51"/>
    <w:qFormat/>
    <w:uiPriority w:val="0"/>
    <w:rPr>
      <w:b/>
      <w:color w:val="007020"/>
    </w:rPr>
  </w:style>
  <w:style w:type="character" w:customStyle="1" w:styleId="75">
    <w:name w:val="OperatorTok"/>
    <w:basedOn w:val="51"/>
    <w:qFormat/>
    <w:uiPriority w:val="0"/>
    <w:rPr>
      <w:color w:val="666666"/>
    </w:rPr>
  </w:style>
  <w:style w:type="character" w:customStyle="1" w:styleId="76">
    <w:name w:val="BuiltInTok"/>
    <w:basedOn w:val="51"/>
    <w:qFormat/>
    <w:uiPriority w:val="0"/>
    <w:rPr>
      <w:color w:val="008000"/>
    </w:rPr>
  </w:style>
  <w:style w:type="character" w:customStyle="1" w:styleId="77">
    <w:name w:val="ExtensionTok"/>
    <w:basedOn w:val="51"/>
    <w:qFormat/>
    <w:uiPriority w:val="0"/>
  </w:style>
  <w:style w:type="character" w:customStyle="1" w:styleId="78">
    <w:name w:val="PreprocessorTok"/>
    <w:basedOn w:val="51"/>
    <w:qFormat/>
    <w:uiPriority w:val="0"/>
    <w:rPr>
      <w:color w:val="BC7A00"/>
    </w:rPr>
  </w:style>
  <w:style w:type="character" w:customStyle="1" w:styleId="79">
    <w:name w:val="AttributeTok"/>
    <w:basedOn w:val="51"/>
    <w:qFormat/>
    <w:uiPriority w:val="0"/>
    <w:rPr>
      <w:color w:val="7D9029"/>
    </w:rPr>
  </w:style>
  <w:style w:type="character" w:customStyle="1" w:styleId="80">
    <w:name w:val="RegionMarkerTok"/>
    <w:basedOn w:val="51"/>
    <w:qFormat/>
    <w:uiPriority w:val="0"/>
  </w:style>
  <w:style w:type="character" w:customStyle="1" w:styleId="81">
    <w:name w:val="InformationTok"/>
    <w:basedOn w:val="51"/>
    <w:qFormat/>
    <w:uiPriority w:val="0"/>
    <w:rPr>
      <w:b/>
      <w:i/>
      <w:color w:val="60A0B0"/>
    </w:rPr>
  </w:style>
  <w:style w:type="character" w:customStyle="1" w:styleId="82">
    <w:name w:val="WarningTok"/>
    <w:basedOn w:val="51"/>
    <w:qFormat/>
    <w:uiPriority w:val="0"/>
    <w:rPr>
      <w:b/>
      <w:i/>
      <w:color w:val="60A0B0"/>
    </w:rPr>
  </w:style>
  <w:style w:type="character" w:customStyle="1" w:styleId="83">
    <w:name w:val="AlertTok"/>
    <w:basedOn w:val="51"/>
    <w:qFormat/>
    <w:uiPriority w:val="0"/>
    <w:rPr>
      <w:b/>
      <w:color w:val="FF0000"/>
    </w:rPr>
  </w:style>
  <w:style w:type="character" w:customStyle="1" w:styleId="84">
    <w:name w:val="ErrorTok"/>
    <w:basedOn w:val="51"/>
    <w:qFormat/>
    <w:uiPriority w:val="0"/>
    <w:rPr>
      <w:b/>
      <w:color w:val="FF0000"/>
    </w:rPr>
  </w:style>
  <w:style w:type="character" w:customStyle="1" w:styleId="85">
    <w:name w:val="NormalTok"/>
    <w:basedOn w:val="51"/>
    <w:qFormat/>
    <w:uiPriority w:val="0"/>
  </w:style>
  <w:style w:type="paragraph" w:customStyle="1" w:styleId="86">
    <w:name w:val="章标题"/>
    <w:next w:val="1"/>
    <w:uiPriority w:val="0"/>
    <w:pPr>
      <w:widowControl w:val="0"/>
      <w:adjustRightInd w:val="0"/>
      <w:spacing w:before="100" w:after="10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6"/>
      <w:szCs w:val="44"/>
      <w:lang w:bidi="ar-SA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" Type="http://schemas.openxmlformats.org/officeDocument/2006/relationships/header" Target="header1.xml"/><Relationship Id="rId1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4578</Words>
  <Characters>5650</Characters>
  <Lines>12</Lines>
  <Paragraphs>8</Paragraphs>
  <TotalTime>3</TotalTime>
  <ScaleCrop>false</ScaleCrop>
  <LinksUpToDate>false</LinksUpToDate>
  <CharactersWithSpaces>5966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2026-09-27T22:07:00Z</dcterms:created>
  <dc:creator>王俊豪</dc:creator>
  <cp:lastModifiedBy>杜威伟</cp:lastModifiedBy>
  <dcterms:modified xsi:type="dcterms:W3CDTF">2026-10-07T21:14:45Z</dcterms:modified>
  <dc:title>先锋会意 产品使用说明书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eyJoZGlkIjoiZTg5Y2FiOTJjMTcxNTNkZGUzMTFkNTg3ZmZkODE5ZjciLCJ1c2VySWQiOiIxNTY4MzYzNzc5In0=</vt:lpwstr>
  </property>
  <property fmtid="{D5CDD505-2E9C-101B-9397-08002B2CF9AE}" pid="3" name="KSOProductBuildVer">
    <vt:lpwstr>2052-12.1.28496.28496</vt:lpwstr>
  </property>
  <property fmtid="{D5CDD505-2E9C-101B-9397-08002B2CF9AE}" pid="4" name="ICV">
    <vt:lpwstr>741E672BC6804A3EBCE19C5F866F374B_12</vt:lpwstr>
  </property>
</Properties>
</file>